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5946E" w14:textId="77777777" w:rsidR="00A52DC2" w:rsidRPr="00776CA5" w:rsidRDefault="00F93BED" w:rsidP="00776CA5">
      <w:pPr>
        <w:jc w:val="center"/>
        <w:rPr>
          <w:b/>
          <w:sz w:val="32"/>
          <w:szCs w:val="32"/>
          <w:lang w:val="en-US"/>
        </w:rPr>
      </w:pPr>
      <w:r w:rsidRPr="00776CA5">
        <w:rPr>
          <w:b/>
          <w:sz w:val="32"/>
          <w:szCs w:val="32"/>
          <w:lang w:val="en-US"/>
        </w:rPr>
        <w:t>TEACHING MODULE</w:t>
      </w:r>
    </w:p>
    <w:p w14:paraId="74EC135A" w14:textId="77777777" w:rsidR="00F93BED" w:rsidRPr="00776CA5" w:rsidRDefault="00776CA5" w:rsidP="00776CA5">
      <w:pPr>
        <w:jc w:val="center"/>
        <w:rPr>
          <w:b/>
          <w:sz w:val="32"/>
          <w:szCs w:val="32"/>
          <w:lang w:val="en-US"/>
        </w:rPr>
      </w:pPr>
      <w:r w:rsidRPr="00776CA5">
        <w:rPr>
          <w:b/>
          <w:sz w:val="32"/>
          <w:szCs w:val="32"/>
          <w:lang w:val="en-US"/>
        </w:rPr>
        <w:t>SYLLABUS</w:t>
      </w:r>
    </w:p>
    <w:p w14:paraId="1FAF6A45" w14:textId="77777777" w:rsidR="00776CA5" w:rsidRPr="000D2BAE" w:rsidRDefault="00776CA5" w:rsidP="00776CA5">
      <w:pPr>
        <w:rPr>
          <w:color w:val="538135" w:themeColor="accent6" w:themeShade="BF"/>
          <w:sz w:val="20"/>
          <w:szCs w:val="20"/>
          <w:lang w:val="en-US"/>
        </w:rPr>
      </w:pPr>
      <w:r w:rsidRPr="000D2BAE">
        <w:rPr>
          <w:color w:val="538135" w:themeColor="accent6" w:themeShade="BF"/>
          <w:sz w:val="20"/>
          <w:szCs w:val="20"/>
          <w:lang w:val="en-US"/>
        </w:rPr>
        <w:t xml:space="preserve">The purpose of this syllabus is to create a coherent information card that will give first preliminary/general information for the </w:t>
      </w:r>
      <w:r w:rsidR="00D766A8" w:rsidRPr="000D2BAE">
        <w:rPr>
          <w:color w:val="538135" w:themeColor="accent6" w:themeShade="BF"/>
          <w:sz w:val="20"/>
          <w:szCs w:val="20"/>
          <w:lang w:val="en-US"/>
        </w:rPr>
        <w:t>recipient of the TECHENER PROJECT products of the content of an individual teaching module. Such a syllabus should be filled/created for each teaching module resulting in 8 syllabuses.</w:t>
      </w:r>
      <w:r w:rsidR="00FE70BA">
        <w:rPr>
          <w:color w:val="538135" w:themeColor="accent6" w:themeShade="BF"/>
          <w:sz w:val="20"/>
          <w:szCs w:val="20"/>
          <w:lang w:val="en-US"/>
        </w:rPr>
        <w:t xml:space="preserve"> If it is decided, that a given TM will have advancement levels (ex. beginner, intermediate, advanced), three syllabuses should be created (similar but with proper extensions of extra materials, topic, subject matter, etc.).</w:t>
      </w:r>
    </w:p>
    <w:p w14:paraId="278C953C" w14:textId="77777777" w:rsidR="00D766A8" w:rsidRDefault="00D766A8" w:rsidP="00776CA5">
      <w:pPr>
        <w:rPr>
          <w:sz w:val="20"/>
          <w:szCs w:val="20"/>
          <w:lang w:val="en-US"/>
        </w:rPr>
      </w:pPr>
    </w:p>
    <w:p w14:paraId="5745F32A" w14:textId="35149FB7" w:rsidR="00D766A8" w:rsidRDefault="00D766A8" w:rsidP="00D766A8">
      <w:pPr>
        <w:pStyle w:val="Akapitzlist"/>
        <w:numPr>
          <w:ilvl w:val="0"/>
          <w:numId w:val="1"/>
        </w:numPr>
        <w:rPr>
          <w:sz w:val="16"/>
          <w:szCs w:val="16"/>
          <w:lang w:val="en-US"/>
        </w:rPr>
      </w:pPr>
      <w:r w:rsidRPr="00D766A8">
        <w:rPr>
          <w:b/>
          <w:sz w:val="20"/>
          <w:szCs w:val="20"/>
          <w:lang w:val="en-US"/>
        </w:rPr>
        <w:t>Name of the Teaching Module</w:t>
      </w:r>
      <w:r>
        <w:rPr>
          <w:sz w:val="20"/>
          <w:szCs w:val="20"/>
          <w:lang w:val="en-US"/>
        </w:rPr>
        <w:br/>
      </w:r>
      <w:r w:rsidR="001C66AD">
        <w:rPr>
          <w:color w:val="000000" w:themeColor="text1"/>
          <w:sz w:val="20"/>
          <w:szCs w:val="20"/>
          <w:lang w:val="en-US"/>
        </w:rPr>
        <w:t xml:space="preserve">Social </w:t>
      </w:r>
      <w:r w:rsidR="00735A08">
        <w:rPr>
          <w:color w:val="000000" w:themeColor="text1"/>
          <w:sz w:val="20"/>
          <w:szCs w:val="20"/>
          <w:lang w:val="en-US"/>
        </w:rPr>
        <w:t xml:space="preserve">Impact of Energy Technologies. Assessing social impacts through Social </w:t>
      </w:r>
      <w:r w:rsidR="001C66AD">
        <w:rPr>
          <w:color w:val="000000" w:themeColor="text1"/>
          <w:sz w:val="20"/>
          <w:szCs w:val="20"/>
          <w:lang w:val="en-US"/>
        </w:rPr>
        <w:t>Life Cycle Assessment (</w:t>
      </w:r>
      <w:r w:rsidR="0090432F">
        <w:rPr>
          <w:color w:val="000000" w:themeColor="text1"/>
          <w:sz w:val="20"/>
          <w:szCs w:val="20"/>
          <w:lang w:val="en-US"/>
        </w:rPr>
        <w:t>S</w:t>
      </w:r>
      <w:r w:rsidR="001C66AD">
        <w:rPr>
          <w:color w:val="000000" w:themeColor="text1"/>
          <w:sz w:val="20"/>
          <w:szCs w:val="20"/>
          <w:lang w:val="en-US"/>
        </w:rPr>
        <w:t>LCA)</w:t>
      </w:r>
    </w:p>
    <w:p w14:paraId="077382D4" w14:textId="77777777" w:rsidR="00595792" w:rsidRPr="00595792" w:rsidRDefault="00595792" w:rsidP="00803CCF">
      <w:pPr>
        <w:rPr>
          <w:sz w:val="16"/>
          <w:szCs w:val="16"/>
          <w:lang w:val="en-US"/>
        </w:rPr>
      </w:pPr>
    </w:p>
    <w:p w14:paraId="318E8054" w14:textId="77777777" w:rsidR="00D766A8" w:rsidRPr="000D2BAE" w:rsidRDefault="00D766A8" w:rsidP="00D766A8">
      <w:pPr>
        <w:pStyle w:val="Akapitzlist"/>
        <w:numPr>
          <w:ilvl w:val="0"/>
          <w:numId w:val="1"/>
        </w:numPr>
        <w:rPr>
          <w:b/>
          <w:sz w:val="20"/>
          <w:szCs w:val="20"/>
          <w:lang w:val="en-US"/>
        </w:rPr>
      </w:pPr>
      <w:r w:rsidRPr="000D2BAE">
        <w:rPr>
          <w:b/>
          <w:sz w:val="20"/>
          <w:szCs w:val="20"/>
          <w:lang w:val="en-US"/>
        </w:rPr>
        <w:t>Brief description of the subject matter</w:t>
      </w:r>
    </w:p>
    <w:p w14:paraId="506D2A93" w14:textId="711376CF" w:rsidR="00123D1B" w:rsidRDefault="00123D1B" w:rsidP="00123D1B">
      <w:pPr>
        <w:pStyle w:val="Akapitzlist"/>
        <w:jc w:val="both"/>
        <w:rPr>
          <w:sz w:val="20"/>
          <w:szCs w:val="20"/>
          <w:lang w:val="en-US"/>
        </w:rPr>
      </w:pPr>
      <w:r>
        <w:rPr>
          <w:sz w:val="20"/>
          <w:szCs w:val="20"/>
          <w:lang w:val="en-US"/>
        </w:rPr>
        <w:t>S</w:t>
      </w:r>
      <w:r w:rsidRPr="00123D1B">
        <w:rPr>
          <w:sz w:val="20"/>
          <w:szCs w:val="20"/>
          <w:lang w:val="en-US"/>
        </w:rPr>
        <w:t xml:space="preserve">trategies </w:t>
      </w:r>
      <w:r>
        <w:rPr>
          <w:sz w:val="20"/>
          <w:szCs w:val="20"/>
          <w:lang w:val="en-US"/>
        </w:rPr>
        <w:t xml:space="preserve">are being developed </w:t>
      </w:r>
      <w:r w:rsidRPr="00123D1B">
        <w:rPr>
          <w:sz w:val="20"/>
          <w:szCs w:val="20"/>
          <w:lang w:val="en-US"/>
        </w:rPr>
        <w:t xml:space="preserve">on the local and global levels to enhance energy security and sustainability through innovative energy policies and measures. The need for practical and sustainable solutions has </w:t>
      </w:r>
      <w:r>
        <w:rPr>
          <w:sz w:val="20"/>
          <w:szCs w:val="20"/>
          <w:lang w:val="en-US"/>
        </w:rPr>
        <w:t>led to the development</w:t>
      </w:r>
      <w:r w:rsidRPr="00123D1B">
        <w:rPr>
          <w:sz w:val="20"/>
          <w:szCs w:val="20"/>
          <w:lang w:val="en-US"/>
        </w:rPr>
        <w:t xml:space="preserve"> of sustainability measurement tools, such as Life Cycle Assessment (LCA). </w:t>
      </w:r>
      <w:r>
        <w:rPr>
          <w:sz w:val="20"/>
          <w:szCs w:val="20"/>
          <w:lang w:val="en-US"/>
        </w:rPr>
        <w:t xml:space="preserve">Life cycle assessment (LCA) is widely used for decision support, but it is mainly limited to environmental impacts and fails to address the other dimensions of sustainability - social and economic concerns - in the product life cycle. </w:t>
      </w:r>
    </w:p>
    <w:p w14:paraId="070724E5" w14:textId="136F9720" w:rsidR="00123D1B" w:rsidRPr="00123D1B" w:rsidRDefault="00123D1B" w:rsidP="00123D1B">
      <w:pPr>
        <w:pStyle w:val="Akapitzlist"/>
        <w:jc w:val="both"/>
        <w:rPr>
          <w:sz w:val="20"/>
          <w:szCs w:val="20"/>
          <w:lang w:val="en-US"/>
        </w:rPr>
      </w:pPr>
      <w:r w:rsidRPr="00123D1B">
        <w:rPr>
          <w:sz w:val="20"/>
          <w:szCs w:val="20"/>
          <w:lang w:val="en-US"/>
        </w:rPr>
        <w:t>As a step further, social criteria may also be included in the sustainability assessment analysis, through the Social Life-Cycle Assessment (SLCA)</w:t>
      </w:r>
      <w:r>
        <w:rPr>
          <w:sz w:val="20"/>
          <w:szCs w:val="20"/>
          <w:lang w:val="en-US"/>
        </w:rPr>
        <w:t xml:space="preserve">, </w:t>
      </w:r>
      <w:r w:rsidRPr="00123D1B">
        <w:rPr>
          <w:sz w:val="20"/>
          <w:szCs w:val="20"/>
          <w:lang w:val="en-US"/>
        </w:rPr>
        <w:t xml:space="preserve">a tool that analyses the impact on society of products or services throughout their life-cycle, assessing the actual and potential positive and negative impacts. </w:t>
      </w:r>
      <w:r>
        <w:rPr>
          <w:sz w:val="20"/>
          <w:szCs w:val="20"/>
          <w:lang w:val="en-US"/>
        </w:rPr>
        <w:t xml:space="preserve"> </w:t>
      </w:r>
      <w:r w:rsidRPr="00123D1B">
        <w:rPr>
          <w:sz w:val="20"/>
          <w:szCs w:val="20"/>
          <w:lang w:val="en-US"/>
        </w:rPr>
        <w:t>Research on standardization of a methodology for conducting SLCA is limited compared to LCA but it is still ongoing.</w:t>
      </w:r>
    </w:p>
    <w:p w14:paraId="381F105A" w14:textId="56C20BAE" w:rsidR="00123D1B" w:rsidRPr="00123D1B" w:rsidRDefault="00123D1B" w:rsidP="00123D1B">
      <w:pPr>
        <w:pStyle w:val="Akapitzlist"/>
        <w:jc w:val="both"/>
        <w:rPr>
          <w:sz w:val="20"/>
          <w:szCs w:val="20"/>
          <w:lang w:val="en-US"/>
        </w:rPr>
      </w:pPr>
      <w:r w:rsidRPr="00123D1B">
        <w:rPr>
          <w:sz w:val="20"/>
          <w:szCs w:val="20"/>
          <w:lang w:val="en-US"/>
        </w:rPr>
        <w:t>Th</w:t>
      </w:r>
      <w:r>
        <w:rPr>
          <w:sz w:val="20"/>
          <w:szCs w:val="20"/>
          <w:lang w:val="en-US"/>
        </w:rPr>
        <w:t>e</w:t>
      </w:r>
      <w:r w:rsidRPr="00123D1B">
        <w:rPr>
          <w:sz w:val="20"/>
          <w:szCs w:val="20"/>
          <w:lang w:val="en-US"/>
        </w:rPr>
        <w:t xml:space="preserve"> module aims to introduce the SLCA methodology as a tool to measure the main social impacts of energy projects through a life cycle perspective. </w:t>
      </w:r>
    </w:p>
    <w:p w14:paraId="439F7A0A" w14:textId="77777777" w:rsidR="00171FA0" w:rsidRDefault="00171FA0" w:rsidP="00D766A8">
      <w:pPr>
        <w:pStyle w:val="Akapitzlist"/>
        <w:rPr>
          <w:sz w:val="20"/>
          <w:szCs w:val="20"/>
          <w:lang w:val="en-US"/>
        </w:rPr>
      </w:pPr>
    </w:p>
    <w:p w14:paraId="518076D6" w14:textId="77777777" w:rsidR="000D2BAE" w:rsidRPr="000D2BAE" w:rsidRDefault="000D2BAE" w:rsidP="00D766A8">
      <w:pPr>
        <w:pStyle w:val="Akapitzlist"/>
        <w:numPr>
          <w:ilvl w:val="0"/>
          <w:numId w:val="1"/>
        </w:numPr>
        <w:rPr>
          <w:b/>
          <w:sz w:val="20"/>
          <w:szCs w:val="20"/>
          <w:lang w:val="en-US"/>
        </w:rPr>
      </w:pPr>
      <w:r w:rsidRPr="000D2BAE">
        <w:rPr>
          <w:b/>
          <w:sz w:val="20"/>
          <w:szCs w:val="20"/>
          <w:lang w:val="en-US"/>
        </w:rPr>
        <w:t>Complete SSH problems description</w:t>
      </w:r>
    </w:p>
    <w:p w14:paraId="6071DA37" w14:textId="77777777" w:rsidR="00DE2699" w:rsidRDefault="00DE2699" w:rsidP="00DE2699">
      <w:pPr>
        <w:pStyle w:val="Akapitzlist"/>
        <w:numPr>
          <w:ilvl w:val="0"/>
          <w:numId w:val="4"/>
        </w:numPr>
        <w:ind w:left="1080"/>
        <w:jc w:val="both"/>
        <w:rPr>
          <w:sz w:val="20"/>
          <w:szCs w:val="20"/>
          <w:lang w:val="en-US"/>
        </w:rPr>
      </w:pPr>
      <w:r w:rsidRPr="00123D1B">
        <w:rPr>
          <w:sz w:val="20"/>
          <w:szCs w:val="20"/>
          <w:lang w:val="en-US"/>
        </w:rPr>
        <w:t xml:space="preserve">Social indicators are currently being considered for energy projects, along with the technical, economic and environmental aspects. However, the overall social impact on local and global scale is hardly addressed by most currently used methods for social evaluation in the energy field. </w:t>
      </w:r>
    </w:p>
    <w:p w14:paraId="7CC0CEC3" w14:textId="6F1317A6" w:rsidR="00A064E1" w:rsidRDefault="00DE2699" w:rsidP="00A064E1">
      <w:pPr>
        <w:pStyle w:val="Akapitzlist"/>
        <w:numPr>
          <w:ilvl w:val="0"/>
          <w:numId w:val="4"/>
        </w:numPr>
        <w:ind w:left="1080"/>
        <w:jc w:val="both"/>
        <w:rPr>
          <w:sz w:val="20"/>
          <w:szCs w:val="20"/>
          <w:lang w:val="en-US"/>
        </w:rPr>
      </w:pPr>
      <w:r>
        <w:rPr>
          <w:sz w:val="20"/>
          <w:szCs w:val="20"/>
          <w:lang w:val="en-US"/>
        </w:rPr>
        <w:t xml:space="preserve">Although some Social Assessment tools exist, </w:t>
      </w:r>
      <w:r w:rsidR="00A064E1">
        <w:rPr>
          <w:sz w:val="20"/>
          <w:szCs w:val="20"/>
          <w:lang w:val="en-US"/>
        </w:rPr>
        <w:t>most of them lack the global perspective of considering the whole Life Cycle of the product or service.</w:t>
      </w:r>
    </w:p>
    <w:p w14:paraId="761AB8B7" w14:textId="6840C380" w:rsidR="00A064E1" w:rsidRDefault="00A064E1" w:rsidP="00A064E1">
      <w:pPr>
        <w:pStyle w:val="Akapitzlist"/>
        <w:numPr>
          <w:ilvl w:val="0"/>
          <w:numId w:val="4"/>
        </w:numPr>
        <w:ind w:left="1080"/>
        <w:jc w:val="both"/>
        <w:rPr>
          <w:sz w:val="20"/>
          <w:szCs w:val="20"/>
          <w:lang w:val="en-US"/>
        </w:rPr>
      </w:pPr>
      <w:r>
        <w:rPr>
          <w:sz w:val="20"/>
          <w:szCs w:val="20"/>
          <w:lang w:val="en-US"/>
        </w:rPr>
        <w:t>Social Life Cycle Assessment, a tool that fills the gap, doesn’t have yet an established methodology. Research on the standardization of a methodology for conducting SLCA is going on but still incipient.</w:t>
      </w:r>
    </w:p>
    <w:p w14:paraId="7FCD7842" w14:textId="2CA5A3C6" w:rsidR="00A064E1" w:rsidRDefault="00A064E1" w:rsidP="00DE2699">
      <w:pPr>
        <w:pStyle w:val="Akapitzlist"/>
        <w:numPr>
          <w:ilvl w:val="0"/>
          <w:numId w:val="4"/>
        </w:numPr>
        <w:ind w:left="1080"/>
        <w:rPr>
          <w:sz w:val="20"/>
          <w:szCs w:val="20"/>
          <w:lang w:val="en-US"/>
        </w:rPr>
      </w:pPr>
      <w:r>
        <w:rPr>
          <w:sz w:val="20"/>
          <w:szCs w:val="20"/>
          <w:lang w:val="en-US"/>
        </w:rPr>
        <w:t>Very few cases of application of SLCA framework to the provision of energy services and in to the energy sector in general</w:t>
      </w:r>
    </w:p>
    <w:p w14:paraId="1EB14755" w14:textId="7407038F" w:rsidR="003E7FE5" w:rsidRDefault="00A064E1" w:rsidP="00A064E1">
      <w:pPr>
        <w:pStyle w:val="Akapitzlist"/>
        <w:numPr>
          <w:ilvl w:val="0"/>
          <w:numId w:val="4"/>
        </w:numPr>
        <w:ind w:left="1080"/>
        <w:jc w:val="both"/>
        <w:rPr>
          <w:sz w:val="20"/>
          <w:szCs w:val="20"/>
          <w:lang w:val="en-US"/>
        </w:rPr>
      </w:pPr>
      <w:r>
        <w:rPr>
          <w:sz w:val="20"/>
          <w:szCs w:val="20"/>
          <w:lang w:val="en-US"/>
        </w:rPr>
        <w:t>For SLCA, q</w:t>
      </w:r>
      <w:r w:rsidR="00D00A69">
        <w:rPr>
          <w:sz w:val="20"/>
          <w:szCs w:val="20"/>
          <w:lang w:val="en-US"/>
        </w:rPr>
        <w:t xml:space="preserve">uantitative and qualitative </w:t>
      </w:r>
      <w:r w:rsidR="00E64AEC">
        <w:rPr>
          <w:sz w:val="20"/>
          <w:szCs w:val="20"/>
          <w:lang w:val="en-US"/>
        </w:rPr>
        <w:t xml:space="preserve">social impact </w:t>
      </w:r>
      <w:r w:rsidR="00EF30FA">
        <w:rPr>
          <w:sz w:val="20"/>
          <w:szCs w:val="20"/>
          <w:lang w:val="en-US"/>
        </w:rPr>
        <w:t xml:space="preserve">indicators </w:t>
      </w:r>
      <w:r>
        <w:rPr>
          <w:sz w:val="20"/>
          <w:szCs w:val="20"/>
          <w:lang w:val="en-US"/>
        </w:rPr>
        <w:t>are needed which are usually difficult to obtain and most of the times subjective.</w:t>
      </w:r>
    </w:p>
    <w:p w14:paraId="33BFF685" w14:textId="3AC65B52" w:rsidR="00123D1B" w:rsidRDefault="00123D1B" w:rsidP="000D2BAE">
      <w:pPr>
        <w:pStyle w:val="Akapitzlist"/>
        <w:rPr>
          <w:color w:val="538135" w:themeColor="accent6" w:themeShade="BF"/>
          <w:sz w:val="20"/>
          <w:szCs w:val="20"/>
          <w:lang w:val="en-US"/>
        </w:rPr>
      </w:pPr>
    </w:p>
    <w:p w14:paraId="66AA2D62" w14:textId="77777777" w:rsidR="00123D1B" w:rsidRPr="000D2BAE" w:rsidRDefault="00123D1B" w:rsidP="000D2BAE">
      <w:pPr>
        <w:pStyle w:val="Akapitzlist"/>
        <w:rPr>
          <w:color w:val="538135" w:themeColor="accent6" w:themeShade="BF"/>
          <w:sz w:val="20"/>
          <w:szCs w:val="20"/>
          <w:lang w:val="en-US"/>
        </w:rPr>
      </w:pPr>
    </w:p>
    <w:p w14:paraId="160323B3" w14:textId="77777777" w:rsidR="00D766A8" w:rsidRPr="000D2BAE" w:rsidRDefault="00D766A8" w:rsidP="00D766A8">
      <w:pPr>
        <w:pStyle w:val="Akapitzlist"/>
        <w:numPr>
          <w:ilvl w:val="0"/>
          <w:numId w:val="1"/>
        </w:numPr>
        <w:rPr>
          <w:b/>
          <w:sz w:val="20"/>
          <w:szCs w:val="20"/>
          <w:lang w:val="en-US"/>
        </w:rPr>
      </w:pPr>
      <w:r w:rsidRPr="000D2BAE">
        <w:rPr>
          <w:b/>
          <w:sz w:val="20"/>
          <w:szCs w:val="20"/>
          <w:lang w:val="en-US"/>
        </w:rPr>
        <w:t>Prerequisites</w:t>
      </w:r>
      <w:r w:rsidR="00456DE5">
        <w:rPr>
          <w:b/>
          <w:sz w:val="20"/>
          <w:szCs w:val="20"/>
          <w:lang w:val="en-US"/>
        </w:rPr>
        <w:t xml:space="preserve"> and context</w:t>
      </w:r>
    </w:p>
    <w:p w14:paraId="791FBAB0" w14:textId="29B12155" w:rsidR="00A064E1" w:rsidRDefault="00A064E1" w:rsidP="007622C6">
      <w:pPr>
        <w:pStyle w:val="Akapitzlist"/>
        <w:jc w:val="both"/>
        <w:rPr>
          <w:sz w:val="20"/>
          <w:szCs w:val="20"/>
          <w:lang w:val="en-US"/>
        </w:rPr>
      </w:pPr>
      <w:r>
        <w:rPr>
          <w:sz w:val="20"/>
          <w:szCs w:val="20"/>
          <w:lang w:val="en-US"/>
        </w:rPr>
        <w:t>Students can benefit of a previous familiarity with LCA methodology, though it is not essential.</w:t>
      </w:r>
    </w:p>
    <w:p w14:paraId="22175E00" w14:textId="288E60AE" w:rsidR="00E94FCE" w:rsidRDefault="00E94FCE" w:rsidP="007622C6">
      <w:pPr>
        <w:pStyle w:val="Akapitzlist"/>
        <w:jc w:val="both"/>
        <w:rPr>
          <w:sz w:val="20"/>
          <w:szCs w:val="20"/>
          <w:lang w:val="en-US"/>
        </w:rPr>
      </w:pPr>
      <w:r w:rsidRPr="00595792">
        <w:rPr>
          <w:sz w:val="20"/>
          <w:szCs w:val="20"/>
          <w:lang w:val="en-US"/>
        </w:rPr>
        <w:t xml:space="preserve">This module </w:t>
      </w:r>
      <w:r>
        <w:rPr>
          <w:sz w:val="20"/>
          <w:szCs w:val="20"/>
          <w:lang w:val="en-US"/>
        </w:rPr>
        <w:t xml:space="preserve">is complementary of the ‘Technology Assessment’ module developed by UFZ, where </w:t>
      </w:r>
      <w:r w:rsidR="00EF30FA">
        <w:rPr>
          <w:sz w:val="20"/>
          <w:szCs w:val="20"/>
          <w:lang w:val="en-US"/>
        </w:rPr>
        <w:t>S</w:t>
      </w:r>
      <w:r>
        <w:rPr>
          <w:sz w:val="20"/>
          <w:szCs w:val="20"/>
          <w:lang w:val="en-US"/>
        </w:rPr>
        <w:t xml:space="preserve">LCA is explained and an exercise proposed for students based on developing a </w:t>
      </w:r>
      <w:r w:rsidR="00EF30FA">
        <w:rPr>
          <w:sz w:val="20"/>
          <w:szCs w:val="20"/>
          <w:lang w:val="en-US"/>
        </w:rPr>
        <w:t>S</w:t>
      </w:r>
      <w:r>
        <w:rPr>
          <w:sz w:val="20"/>
          <w:szCs w:val="20"/>
          <w:lang w:val="en-US"/>
        </w:rPr>
        <w:t xml:space="preserve">LCA for geothermal energy application. The Technology Assessment module provides a general overview of LCA which may be useful to undertake before this module if students are not familiar with LCA. </w:t>
      </w:r>
    </w:p>
    <w:p w14:paraId="0EC7BD45" w14:textId="77777777" w:rsidR="00F17AD2" w:rsidRPr="000D2BAE" w:rsidRDefault="00F17AD2" w:rsidP="00D766A8">
      <w:pPr>
        <w:pStyle w:val="Akapitzlist"/>
        <w:rPr>
          <w:color w:val="538135" w:themeColor="accent6" w:themeShade="BF"/>
          <w:sz w:val="20"/>
          <w:szCs w:val="20"/>
          <w:lang w:val="en-US"/>
        </w:rPr>
      </w:pPr>
    </w:p>
    <w:p w14:paraId="0B7C9D3F" w14:textId="77777777" w:rsidR="00D766A8" w:rsidRPr="000D2BAE" w:rsidRDefault="000D2BAE" w:rsidP="00D766A8">
      <w:pPr>
        <w:pStyle w:val="Akapitzlist"/>
        <w:numPr>
          <w:ilvl w:val="0"/>
          <w:numId w:val="1"/>
        </w:numPr>
        <w:rPr>
          <w:b/>
          <w:sz w:val="20"/>
          <w:szCs w:val="20"/>
          <w:lang w:val="en-US"/>
        </w:rPr>
      </w:pPr>
      <w:r w:rsidRPr="000D2BAE">
        <w:rPr>
          <w:b/>
          <w:sz w:val="20"/>
          <w:szCs w:val="20"/>
          <w:lang w:val="en-US"/>
        </w:rPr>
        <w:t>Learning outcomes</w:t>
      </w:r>
    </w:p>
    <w:p w14:paraId="46A93BC0" w14:textId="77777777" w:rsidR="000D2BAE" w:rsidRDefault="000D2BAE" w:rsidP="003C628C">
      <w:pPr>
        <w:pStyle w:val="Akapitzlist"/>
        <w:numPr>
          <w:ilvl w:val="0"/>
          <w:numId w:val="14"/>
        </w:numPr>
        <w:rPr>
          <w:sz w:val="20"/>
          <w:szCs w:val="20"/>
          <w:lang w:val="en-US"/>
        </w:rPr>
      </w:pPr>
      <w:r>
        <w:rPr>
          <w:sz w:val="20"/>
          <w:szCs w:val="20"/>
          <w:lang w:val="en-US"/>
        </w:rPr>
        <w:t>Knowledg</w:t>
      </w:r>
      <w:r w:rsidRPr="000D2BAE">
        <w:rPr>
          <w:sz w:val="20"/>
          <w:szCs w:val="20"/>
          <w:lang w:val="en-US"/>
        </w:rPr>
        <w:t>e</w:t>
      </w:r>
    </w:p>
    <w:p w14:paraId="253ADDE2" w14:textId="77777777" w:rsidR="003C628C" w:rsidRDefault="003C628C" w:rsidP="003C628C">
      <w:pPr>
        <w:pStyle w:val="Akapitzlist"/>
        <w:numPr>
          <w:ilvl w:val="1"/>
          <w:numId w:val="14"/>
        </w:numPr>
        <w:jc w:val="both"/>
        <w:rPr>
          <w:sz w:val="20"/>
          <w:szCs w:val="20"/>
          <w:lang w:val="en-US"/>
        </w:rPr>
      </w:pPr>
      <w:r w:rsidRPr="00123D1B">
        <w:rPr>
          <w:sz w:val="20"/>
          <w:szCs w:val="20"/>
          <w:lang w:val="en-US"/>
        </w:rPr>
        <w:t>students will be able to grab the importance of SLCA and contextualize th</w:t>
      </w:r>
      <w:r>
        <w:rPr>
          <w:sz w:val="20"/>
          <w:szCs w:val="20"/>
          <w:lang w:val="en-US"/>
        </w:rPr>
        <w:t>e</w:t>
      </w:r>
      <w:r w:rsidRPr="00123D1B">
        <w:rPr>
          <w:sz w:val="20"/>
          <w:szCs w:val="20"/>
          <w:lang w:val="en-US"/>
        </w:rPr>
        <w:t xml:space="preserve"> methodology;</w:t>
      </w:r>
    </w:p>
    <w:p w14:paraId="7529A5C1" w14:textId="2A611953" w:rsidR="003C628C" w:rsidRDefault="003C628C" w:rsidP="003C628C">
      <w:pPr>
        <w:pStyle w:val="Akapitzlist"/>
        <w:numPr>
          <w:ilvl w:val="1"/>
          <w:numId w:val="14"/>
        </w:numPr>
        <w:jc w:val="both"/>
        <w:rPr>
          <w:sz w:val="20"/>
          <w:szCs w:val="20"/>
          <w:lang w:val="en-US"/>
        </w:rPr>
      </w:pPr>
      <w:r w:rsidRPr="00123D1B">
        <w:rPr>
          <w:sz w:val="20"/>
          <w:szCs w:val="20"/>
          <w:lang w:val="en-US"/>
        </w:rPr>
        <w:t>students will learn the steps needed to design and conduct a SLCA</w:t>
      </w:r>
      <w:r>
        <w:rPr>
          <w:sz w:val="20"/>
          <w:szCs w:val="20"/>
          <w:lang w:val="en-US"/>
        </w:rPr>
        <w:t>;</w:t>
      </w:r>
    </w:p>
    <w:p w14:paraId="27B02293" w14:textId="606EA5AB" w:rsidR="003C628C" w:rsidRDefault="003C628C" w:rsidP="003C628C">
      <w:pPr>
        <w:pStyle w:val="Akapitzlist"/>
        <w:numPr>
          <w:ilvl w:val="1"/>
          <w:numId w:val="14"/>
        </w:numPr>
        <w:jc w:val="both"/>
        <w:rPr>
          <w:sz w:val="20"/>
          <w:szCs w:val="20"/>
          <w:lang w:val="en-US"/>
        </w:rPr>
      </w:pPr>
      <w:r>
        <w:rPr>
          <w:sz w:val="20"/>
          <w:szCs w:val="20"/>
          <w:lang w:val="en-US"/>
        </w:rPr>
        <w:t>students</w:t>
      </w:r>
      <w:r w:rsidRPr="00123D1B">
        <w:rPr>
          <w:sz w:val="20"/>
          <w:szCs w:val="20"/>
          <w:lang w:val="en-US"/>
        </w:rPr>
        <w:t xml:space="preserve"> </w:t>
      </w:r>
      <w:r>
        <w:rPr>
          <w:sz w:val="20"/>
          <w:szCs w:val="20"/>
          <w:lang w:val="en-US"/>
        </w:rPr>
        <w:t xml:space="preserve">will be able to explain the characteristics of a suitable </w:t>
      </w:r>
      <w:r w:rsidRPr="00123D1B">
        <w:rPr>
          <w:sz w:val="20"/>
          <w:szCs w:val="20"/>
          <w:lang w:val="en-US"/>
        </w:rPr>
        <w:t>sustainability indicator</w:t>
      </w:r>
      <w:r>
        <w:rPr>
          <w:sz w:val="20"/>
          <w:szCs w:val="20"/>
          <w:lang w:val="en-US"/>
        </w:rPr>
        <w:t xml:space="preserve"> framework;</w:t>
      </w:r>
    </w:p>
    <w:p w14:paraId="0D1CDC70" w14:textId="4643C03E" w:rsidR="003C628C" w:rsidRDefault="003C628C" w:rsidP="003C628C">
      <w:pPr>
        <w:pStyle w:val="Akapitzlist"/>
        <w:numPr>
          <w:ilvl w:val="1"/>
          <w:numId w:val="14"/>
        </w:numPr>
        <w:jc w:val="both"/>
        <w:rPr>
          <w:sz w:val="20"/>
          <w:szCs w:val="20"/>
          <w:lang w:val="en-US"/>
        </w:rPr>
      </w:pPr>
      <w:r>
        <w:rPr>
          <w:sz w:val="20"/>
          <w:szCs w:val="20"/>
          <w:lang w:val="en-US"/>
        </w:rPr>
        <w:t xml:space="preserve">students will be aware of the difficulties </w:t>
      </w:r>
      <w:r w:rsidRPr="00123D1B">
        <w:rPr>
          <w:sz w:val="20"/>
          <w:szCs w:val="20"/>
          <w:lang w:val="en-US"/>
        </w:rPr>
        <w:t xml:space="preserve">in obtaining values for </w:t>
      </w:r>
      <w:r>
        <w:rPr>
          <w:sz w:val="20"/>
          <w:szCs w:val="20"/>
          <w:lang w:val="en-US"/>
        </w:rPr>
        <w:t>indicators on social themes;</w:t>
      </w:r>
    </w:p>
    <w:p w14:paraId="6932BE1D" w14:textId="46B8A280" w:rsidR="008E49A7" w:rsidRPr="003C628C" w:rsidRDefault="003C628C" w:rsidP="003C628C">
      <w:pPr>
        <w:pStyle w:val="Akapitzlist"/>
        <w:numPr>
          <w:ilvl w:val="1"/>
          <w:numId w:val="14"/>
        </w:numPr>
        <w:jc w:val="both"/>
        <w:rPr>
          <w:sz w:val="20"/>
          <w:szCs w:val="20"/>
          <w:lang w:val="en-US"/>
        </w:rPr>
      </w:pPr>
      <w:r>
        <w:rPr>
          <w:sz w:val="20"/>
          <w:szCs w:val="20"/>
          <w:lang w:val="en-US"/>
        </w:rPr>
        <w:t xml:space="preserve">students will be able to </w:t>
      </w:r>
      <w:r w:rsidR="008E49A7" w:rsidRPr="003C628C">
        <w:rPr>
          <w:sz w:val="20"/>
          <w:szCs w:val="20"/>
          <w:lang w:val="en-US"/>
        </w:rPr>
        <w:t xml:space="preserve">provide compelling examples of the importance of </w:t>
      </w:r>
      <w:r w:rsidR="00E94FCE" w:rsidRPr="003C628C">
        <w:rPr>
          <w:sz w:val="20"/>
          <w:szCs w:val="20"/>
          <w:lang w:val="en-US"/>
        </w:rPr>
        <w:t xml:space="preserve">social </w:t>
      </w:r>
      <w:r w:rsidR="008E49A7" w:rsidRPr="003C628C">
        <w:rPr>
          <w:sz w:val="20"/>
          <w:szCs w:val="20"/>
          <w:lang w:val="en-US"/>
        </w:rPr>
        <w:t xml:space="preserve">issues </w:t>
      </w:r>
      <w:r w:rsidR="00E94FCE" w:rsidRPr="003C628C">
        <w:rPr>
          <w:sz w:val="20"/>
          <w:szCs w:val="20"/>
          <w:lang w:val="en-US"/>
        </w:rPr>
        <w:t xml:space="preserve">in </w:t>
      </w:r>
      <w:r w:rsidR="008E49A7" w:rsidRPr="003C628C">
        <w:rPr>
          <w:sz w:val="20"/>
          <w:szCs w:val="20"/>
          <w:lang w:val="en-US"/>
        </w:rPr>
        <w:t>real energy projects at different scales</w:t>
      </w:r>
      <w:r w:rsidR="00E94FCE" w:rsidRPr="003C628C">
        <w:rPr>
          <w:sz w:val="20"/>
          <w:szCs w:val="20"/>
          <w:lang w:val="en-US"/>
        </w:rPr>
        <w:t>.</w:t>
      </w:r>
    </w:p>
    <w:p w14:paraId="15593EE7" w14:textId="77777777" w:rsidR="000D2BAE" w:rsidRDefault="000D2BAE" w:rsidP="003C628C">
      <w:pPr>
        <w:pStyle w:val="Akapitzlist"/>
        <w:numPr>
          <w:ilvl w:val="0"/>
          <w:numId w:val="14"/>
        </w:numPr>
        <w:rPr>
          <w:sz w:val="20"/>
          <w:szCs w:val="20"/>
          <w:lang w:val="en-US"/>
        </w:rPr>
      </w:pPr>
      <w:r>
        <w:rPr>
          <w:sz w:val="20"/>
          <w:szCs w:val="20"/>
          <w:lang w:val="en-US"/>
        </w:rPr>
        <w:t>Skills</w:t>
      </w:r>
    </w:p>
    <w:p w14:paraId="33771641" w14:textId="427ED4F5" w:rsidR="00F02AC6" w:rsidRPr="003C628C" w:rsidRDefault="003C628C" w:rsidP="006371C0">
      <w:pPr>
        <w:pStyle w:val="Akapitzlist"/>
        <w:numPr>
          <w:ilvl w:val="1"/>
          <w:numId w:val="14"/>
        </w:numPr>
        <w:spacing w:after="0" w:line="240" w:lineRule="auto"/>
        <w:rPr>
          <w:sz w:val="20"/>
          <w:szCs w:val="20"/>
          <w:lang w:val="en-US"/>
        </w:rPr>
      </w:pPr>
      <w:r w:rsidRPr="003C628C">
        <w:rPr>
          <w:sz w:val="20"/>
          <w:szCs w:val="20"/>
          <w:lang w:val="en-US"/>
        </w:rPr>
        <w:t xml:space="preserve">Students will be able to </w:t>
      </w:r>
      <w:r>
        <w:rPr>
          <w:sz w:val="20"/>
          <w:szCs w:val="20"/>
          <w:lang w:val="en-US"/>
        </w:rPr>
        <w:t>u</w:t>
      </w:r>
      <w:r w:rsidR="00C40156" w:rsidRPr="003C628C">
        <w:rPr>
          <w:sz w:val="20"/>
          <w:szCs w:val="20"/>
          <w:lang w:val="en-US"/>
        </w:rPr>
        <w:t xml:space="preserve">nderstand </w:t>
      </w:r>
      <w:r>
        <w:rPr>
          <w:sz w:val="20"/>
          <w:szCs w:val="20"/>
          <w:lang w:val="en-US"/>
        </w:rPr>
        <w:t xml:space="preserve">the </w:t>
      </w:r>
      <w:r w:rsidR="00F02AC6" w:rsidRPr="003C628C">
        <w:rPr>
          <w:sz w:val="20"/>
          <w:szCs w:val="20"/>
          <w:lang w:val="en-US"/>
        </w:rPr>
        <w:t xml:space="preserve">design </w:t>
      </w:r>
      <w:r>
        <w:rPr>
          <w:sz w:val="20"/>
          <w:szCs w:val="20"/>
          <w:lang w:val="en-US"/>
        </w:rPr>
        <w:t xml:space="preserve">of a </w:t>
      </w:r>
      <w:r w:rsidR="00F02AC6" w:rsidRPr="003C628C">
        <w:rPr>
          <w:sz w:val="20"/>
          <w:szCs w:val="20"/>
          <w:lang w:val="en-US"/>
        </w:rPr>
        <w:t>SLCA</w:t>
      </w:r>
      <w:r w:rsidR="00EA0E9B" w:rsidRPr="003C628C">
        <w:rPr>
          <w:sz w:val="20"/>
          <w:szCs w:val="20"/>
          <w:lang w:val="en-US"/>
        </w:rPr>
        <w:t>;</w:t>
      </w:r>
      <w:r w:rsidR="00C40156" w:rsidRPr="003C628C" w:rsidDel="00C40156">
        <w:rPr>
          <w:sz w:val="20"/>
          <w:szCs w:val="20"/>
          <w:lang w:val="en-US"/>
        </w:rPr>
        <w:t xml:space="preserve"> </w:t>
      </w:r>
    </w:p>
    <w:p w14:paraId="02E22B30" w14:textId="38257789" w:rsidR="00EA0E9B" w:rsidRDefault="003C628C" w:rsidP="003C628C">
      <w:pPr>
        <w:pStyle w:val="Akapitzlist"/>
        <w:numPr>
          <w:ilvl w:val="1"/>
          <w:numId w:val="14"/>
        </w:numPr>
        <w:spacing w:after="0" w:line="240" w:lineRule="auto"/>
        <w:rPr>
          <w:sz w:val="20"/>
          <w:szCs w:val="20"/>
          <w:lang w:val="en-US"/>
        </w:rPr>
      </w:pPr>
      <w:r>
        <w:rPr>
          <w:sz w:val="20"/>
          <w:szCs w:val="20"/>
          <w:lang w:val="en-US"/>
        </w:rPr>
        <w:t>s</w:t>
      </w:r>
      <w:r w:rsidRPr="003C628C">
        <w:rPr>
          <w:sz w:val="20"/>
          <w:szCs w:val="20"/>
          <w:lang w:val="en-US"/>
        </w:rPr>
        <w:t xml:space="preserve">tudents will be able </w:t>
      </w:r>
      <w:r w:rsidR="00EA0E9B" w:rsidRPr="008E49A7">
        <w:rPr>
          <w:sz w:val="20"/>
          <w:szCs w:val="20"/>
          <w:lang w:val="en-US"/>
        </w:rPr>
        <w:t>synthetize the findings in a report</w:t>
      </w:r>
      <w:r w:rsidR="00EA0E9B">
        <w:rPr>
          <w:sz w:val="20"/>
          <w:szCs w:val="20"/>
          <w:lang w:val="en-US"/>
        </w:rPr>
        <w:t>;</w:t>
      </w:r>
    </w:p>
    <w:p w14:paraId="4CFC640F" w14:textId="77777777" w:rsidR="003C628C" w:rsidRDefault="003C628C" w:rsidP="00F555C2">
      <w:pPr>
        <w:pStyle w:val="Akapitzlist"/>
        <w:numPr>
          <w:ilvl w:val="1"/>
          <w:numId w:val="14"/>
        </w:numPr>
        <w:spacing w:after="0" w:line="240" w:lineRule="auto"/>
        <w:rPr>
          <w:sz w:val="20"/>
          <w:szCs w:val="20"/>
          <w:lang w:val="en-US"/>
        </w:rPr>
      </w:pPr>
      <w:r w:rsidRPr="003C628C">
        <w:rPr>
          <w:sz w:val="20"/>
          <w:szCs w:val="20"/>
          <w:lang w:val="en-US"/>
        </w:rPr>
        <w:t xml:space="preserve">students will be able to </w:t>
      </w:r>
      <w:r w:rsidR="00EA0E9B" w:rsidRPr="003C628C">
        <w:rPr>
          <w:sz w:val="20"/>
          <w:szCs w:val="20"/>
          <w:lang w:val="en-US"/>
        </w:rPr>
        <w:t>define a number of sustainability indicators</w:t>
      </w:r>
      <w:r>
        <w:rPr>
          <w:sz w:val="20"/>
          <w:szCs w:val="20"/>
          <w:lang w:val="en-US"/>
        </w:rPr>
        <w:t>;</w:t>
      </w:r>
    </w:p>
    <w:p w14:paraId="38E5295F" w14:textId="3253CBE6" w:rsidR="00EA0E9B" w:rsidRPr="003C628C" w:rsidRDefault="003C628C" w:rsidP="00F555C2">
      <w:pPr>
        <w:pStyle w:val="Akapitzlist"/>
        <w:numPr>
          <w:ilvl w:val="1"/>
          <w:numId w:val="14"/>
        </w:numPr>
        <w:spacing w:after="0" w:line="240" w:lineRule="auto"/>
        <w:rPr>
          <w:sz w:val="20"/>
          <w:szCs w:val="20"/>
          <w:lang w:val="en-US"/>
        </w:rPr>
      </w:pPr>
      <w:r>
        <w:rPr>
          <w:sz w:val="20"/>
          <w:szCs w:val="20"/>
          <w:lang w:val="en-US"/>
        </w:rPr>
        <w:t>students will be able to estimate values for social indicators.</w:t>
      </w:r>
    </w:p>
    <w:p w14:paraId="11C12BDF" w14:textId="77777777" w:rsidR="008E49A7" w:rsidRPr="008E49A7" w:rsidRDefault="008E49A7" w:rsidP="003C628C">
      <w:pPr>
        <w:pStyle w:val="Akapitzlist"/>
        <w:spacing w:after="0" w:line="240" w:lineRule="auto"/>
        <w:ind w:left="1800"/>
        <w:rPr>
          <w:sz w:val="20"/>
          <w:szCs w:val="20"/>
          <w:lang w:val="en-US"/>
        </w:rPr>
      </w:pPr>
    </w:p>
    <w:p w14:paraId="1BCEED5A" w14:textId="77777777" w:rsidR="000D2BAE" w:rsidRDefault="000D2BAE" w:rsidP="003C628C">
      <w:pPr>
        <w:pStyle w:val="Akapitzlist"/>
        <w:numPr>
          <w:ilvl w:val="0"/>
          <w:numId w:val="14"/>
        </w:numPr>
        <w:rPr>
          <w:sz w:val="20"/>
          <w:szCs w:val="20"/>
          <w:lang w:val="en-US"/>
        </w:rPr>
      </w:pPr>
      <w:r>
        <w:rPr>
          <w:sz w:val="20"/>
          <w:szCs w:val="20"/>
          <w:lang w:val="en-US"/>
        </w:rPr>
        <w:t>Social competencies</w:t>
      </w:r>
      <w:r w:rsidRPr="000D2BAE">
        <w:rPr>
          <w:sz w:val="20"/>
          <w:szCs w:val="20"/>
          <w:lang w:val="en-US"/>
        </w:rPr>
        <w:t xml:space="preserve"> </w:t>
      </w:r>
    </w:p>
    <w:p w14:paraId="2B1E4677" w14:textId="09BCF6E8" w:rsidR="00EA0E9B" w:rsidRDefault="003C628C" w:rsidP="003C628C">
      <w:pPr>
        <w:pStyle w:val="Akapitzlist"/>
        <w:numPr>
          <w:ilvl w:val="1"/>
          <w:numId w:val="14"/>
        </w:numPr>
        <w:spacing w:after="0" w:line="240" w:lineRule="auto"/>
        <w:rPr>
          <w:sz w:val="20"/>
          <w:szCs w:val="20"/>
          <w:lang w:val="en-US"/>
        </w:rPr>
      </w:pPr>
      <w:r>
        <w:rPr>
          <w:sz w:val="20"/>
          <w:szCs w:val="20"/>
          <w:lang w:val="en-US"/>
        </w:rPr>
        <w:t>Students will be able w</w:t>
      </w:r>
      <w:r w:rsidR="00EA0E9B">
        <w:rPr>
          <w:sz w:val="20"/>
          <w:szCs w:val="20"/>
          <w:lang w:val="en-US"/>
        </w:rPr>
        <w:t>ork in teams</w:t>
      </w:r>
      <w:r w:rsidR="00795ABE">
        <w:rPr>
          <w:sz w:val="20"/>
          <w:szCs w:val="20"/>
          <w:lang w:val="en-US"/>
        </w:rPr>
        <w:t xml:space="preserve"> in a collaborative atmosphere;</w:t>
      </w:r>
    </w:p>
    <w:p w14:paraId="100C1B7C" w14:textId="2DD9EF33" w:rsidR="008E49A7" w:rsidRPr="00EA0E9B" w:rsidRDefault="00795ABE" w:rsidP="003C628C">
      <w:pPr>
        <w:pStyle w:val="Akapitzlist"/>
        <w:numPr>
          <w:ilvl w:val="1"/>
          <w:numId w:val="14"/>
        </w:numPr>
        <w:spacing w:after="0" w:line="240" w:lineRule="auto"/>
        <w:rPr>
          <w:sz w:val="20"/>
          <w:szCs w:val="20"/>
          <w:lang w:val="en-US"/>
        </w:rPr>
      </w:pPr>
      <w:r>
        <w:rPr>
          <w:sz w:val="20"/>
          <w:szCs w:val="20"/>
          <w:lang w:val="en-US"/>
        </w:rPr>
        <w:t>s</w:t>
      </w:r>
      <w:r w:rsidR="003C628C">
        <w:rPr>
          <w:sz w:val="20"/>
          <w:szCs w:val="20"/>
          <w:lang w:val="en-US"/>
        </w:rPr>
        <w:t>tudents will be able to discuss/debate ideas with an open mind.</w:t>
      </w:r>
    </w:p>
    <w:p w14:paraId="7E17AD25" w14:textId="77777777" w:rsidR="00123D1B" w:rsidRPr="008E49A7" w:rsidRDefault="00123D1B" w:rsidP="008E49A7">
      <w:pPr>
        <w:rPr>
          <w:sz w:val="20"/>
          <w:szCs w:val="20"/>
          <w:lang w:val="en-US"/>
        </w:rPr>
      </w:pPr>
    </w:p>
    <w:p w14:paraId="6C744978" w14:textId="77777777" w:rsidR="000D2BAE" w:rsidRDefault="000D2BAE" w:rsidP="00D766A8">
      <w:pPr>
        <w:pStyle w:val="Akapitzlist"/>
        <w:numPr>
          <w:ilvl w:val="0"/>
          <w:numId w:val="1"/>
        </w:numPr>
        <w:rPr>
          <w:b/>
          <w:sz w:val="20"/>
          <w:szCs w:val="20"/>
          <w:lang w:val="en-US"/>
        </w:rPr>
      </w:pPr>
      <w:r w:rsidRPr="00D45F86">
        <w:rPr>
          <w:b/>
          <w:sz w:val="20"/>
          <w:szCs w:val="20"/>
          <w:lang w:val="en-US"/>
        </w:rPr>
        <w:t>Form of classes</w:t>
      </w:r>
    </w:p>
    <w:p w14:paraId="4527FAC2" w14:textId="77777777" w:rsidR="000D757C" w:rsidRDefault="000D757C" w:rsidP="000D757C">
      <w:pPr>
        <w:ind w:left="360"/>
        <w:rPr>
          <w:sz w:val="20"/>
          <w:szCs w:val="20"/>
          <w:lang w:val="en-US"/>
        </w:rPr>
      </w:pPr>
      <w:r w:rsidRPr="000D757C">
        <w:rPr>
          <w:sz w:val="20"/>
          <w:szCs w:val="20"/>
          <w:lang w:val="en-US"/>
        </w:rPr>
        <w:t xml:space="preserve">This module is divided into two sessions. </w:t>
      </w:r>
    </w:p>
    <w:p w14:paraId="1CDB9C4B" w14:textId="77777777" w:rsidR="000D757C" w:rsidRDefault="000D757C" w:rsidP="000D757C">
      <w:pPr>
        <w:pStyle w:val="Akapitzlist"/>
        <w:numPr>
          <w:ilvl w:val="0"/>
          <w:numId w:val="15"/>
        </w:numPr>
        <w:jc w:val="both"/>
        <w:rPr>
          <w:sz w:val="20"/>
          <w:szCs w:val="20"/>
          <w:lang w:val="en-US"/>
        </w:rPr>
      </w:pPr>
      <w:r w:rsidRPr="000D757C">
        <w:rPr>
          <w:sz w:val="20"/>
          <w:szCs w:val="20"/>
          <w:lang w:val="en-US"/>
        </w:rPr>
        <w:t xml:space="preserve">The first session </w:t>
      </w:r>
      <w:r>
        <w:rPr>
          <w:sz w:val="20"/>
          <w:szCs w:val="20"/>
          <w:lang w:val="en-US"/>
        </w:rPr>
        <w:t xml:space="preserve">(1 h 30’) is a </w:t>
      </w:r>
      <w:r w:rsidRPr="000D757C">
        <w:rPr>
          <w:sz w:val="20"/>
          <w:szCs w:val="20"/>
          <w:lang w:val="en-US"/>
        </w:rPr>
        <w:t xml:space="preserve">lecture </w:t>
      </w:r>
      <w:r>
        <w:rPr>
          <w:sz w:val="20"/>
          <w:szCs w:val="20"/>
          <w:lang w:val="en-US"/>
        </w:rPr>
        <w:t xml:space="preserve">introducing SLCA, which contains a group work on social </w:t>
      </w:r>
      <w:r w:rsidRPr="000D757C">
        <w:rPr>
          <w:sz w:val="20"/>
          <w:szCs w:val="20"/>
          <w:lang w:val="en-US"/>
        </w:rPr>
        <w:t>indicators</w:t>
      </w:r>
    </w:p>
    <w:p w14:paraId="22F0C9CE" w14:textId="2A3551D2" w:rsidR="000D757C" w:rsidRDefault="000D757C" w:rsidP="000D757C">
      <w:pPr>
        <w:pStyle w:val="Akapitzlist"/>
        <w:numPr>
          <w:ilvl w:val="0"/>
          <w:numId w:val="15"/>
        </w:numPr>
        <w:jc w:val="both"/>
        <w:rPr>
          <w:sz w:val="20"/>
          <w:szCs w:val="20"/>
          <w:lang w:val="en-US"/>
        </w:rPr>
      </w:pPr>
      <w:r>
        <w:rPr>
          <w:sz w:val="20"/>
          <w:szCs w:val="20"/>
          <w:lang w:val="en-US"/>
        </w:rPr>
        <w:t>In the</w:t>
      </w:r>
      <w:r w:rsidRPr="000D757C">
        <w:rPr>
          <w:sz w:val="20"/>
          <w:szCs w:val="20"/>
          <w:lang w:val="en-US"/>
        </w:rPr>
        <w:t xml:space="preserve"> second session </w:t>
      </w:r>
      <w:r>
        <w:rPr>
          <w:sz w:val="20"/>
          <w:szCs w:val="20"/>
          <w:lang w:val="en-US"/>
        </w:rPr>
        <w:t xml:space="preserve">(2 h 15’), the students working in teams will </w:t>
      </w:r>
      <w:r w:rsidRPr="000D757C">
        <w:rPr>
          <w:sz w:val="20"/>
          <w:szCs w:val="20"/>
          <w:lang w:val="en-US"/>
        </w:rPr>
        <w:t xml:space="preserve">develop a SLCA based on </w:t>
      </w:r>
      <w:r>
        <w:rPr>
          <w:sz w:val="20"/>
          <w:szCs w:val="20"/>
          <w:lang w:val="en-US"/>
        </w:rPr>
        <w:t xml:space="preserve">a </w:t>
      </w:r>
      <w:r w:rsidRPr="000D757C">
        <w:rPr>
          <w:sz w:val="20"/>
          <w:szCs w:val="20"/>
          <w:lang w:val="en-US"/>
        </w:rPr>
        <w:t xml:space="preserve">case study introduced at the end of the first session. </w:t>
      </w:r>
    </w:p>
    <w:p w14:paraId="758AE154" w14:textId="053292F8" w:rsidR="000D757C" w:rsidRDefault="000D757C" w:rsidP="000D757C">
      <w:pPr>
        <w:ind w:left="360"/>
        <w:jc w:val="both"/>
        <w:rPr>
          <w:sz w:val="20"/>
          <w:szCs w:val="20"/>
          <w:lang w:val="en-US"/>
        </w:rPr>
      </w:pPr>
      <w:r>
        <w:rPr>
          <w:sz w:val="20"/>
          <w:szCs w:val="20"/>
          <w:lang w:val="en-US"/>
        </w:rPr>
        <w:t xml:space="preserve">Students will read some aspects of the case study using the provided reading material between the two sessions and will prepare, in teams, a presentation to be shown at the beginning of the second session. </w:t>
      </w:r>
    </w:p>
    <w:p w14:paraId="51BA8B2B" w14:textId="35556B16" w:rsidR="00771C79" w:rsidRDefault="000D757C" w:rsidP="00401B6B">
      <w:pPr>
        <w:ind w:left="360"/>
        <w:jc w:val="both"/>
        <w:rPr>
          <w:sz w:val="20"/>
          <w:szCs w:val="20"/>
          <w:lang w:val="en-US"/>
        </w:rPr>
      </w:pPr>
      <w:r>
        <w:rPr>
          <w:sz w:val="20"/>
          <w:szCs w:val="20"/>
          <w:lang w:val="en-US"/>
        </w:rPr>
        <w:t>At the end of the second session, students need to compile, as a homework, their analyses in a report.</w:t>
      </w:r>
    </w:p>
    <w:p w14:paraId="28FA0CB3" w14:textId="77777777" w:rsidR="00401B6B" w:rsidRPr="000D757C" w:rsidRDefault="00401B6B" w:rsidP="00401B6B">
      <w:pPr>
        <w:ind w:left="360"/>
        <w:jc w:val="both"/>
        <w:rPr>
          <w:sz w:val="20"/>
          <w:szCs w:val="20"/>
          <w:lang w:val="en-US"/>
        </w:rPr>
      </w:pPr>
    </w:p>
    <w:p w14:paraId="4C129CE6" w14:textId="170DB80E" w:rsidR="000D2BAE" w:rsidRPr="00D45F86" w:rsidRDefault="000D2BAE" w:rsidP="00D766A8">
      <w:pPr>
        <w:pStyle w:val="Akapitzlist"/>
        <w:numPr>
          <w:ilvl w:val="0"/>
          <w:numId w:val="1"/>
        </w:numPr>
        <w:rPr>
          <w:b/>
          <w:sz w:val="20"/>
          <w:szCs w:val="20"/>
          <w:lang w:val="en-US"/>
        </w:rPr>
      </w:pPr>
      <w:r w:rsidRPr="00D45F86">
        <w:rPr>
          <w:b/>
          <w:sz w:val="20"/>
          <w:szCs w:val="20"/>
          <w:lang w:val="en-US"/>
        </w:rPr>
        <w:t>Teaching methods</w:t>
      </w:r>
      <w:r w:rsidR="00310DCE">
        <w:rPr>
          <w:b/>
          <w:sz w:val="20"/>
          <w:szCs w:val="20"/>
          <w:lang w:val="en-US"/>
        </w:rPr>
        <w:t xml:space="preserve"> </w:t>
      </w:r>
    </w:p>
    <w:p w14:paraId="43B254C2" w14:textId="77777777" w:rsidR="000D757C" w:rsidRPr="000D757C" w:rsidRDefault="000D757C" w:rsidP="000D757C">
      <w:pPr>
        <w:pStyle w:val="Akapitzlist"/>
        <w:numPr>
          <w:ilvl w:val="0"/>
          <w:numId w:val="17"/>
        </w:numPr>
        <w:spacing w:line="276" w:lineRule="auto"/>
        <w:rPr>
          <w:sz w:val="20"/>
          <w:szCs w:val="20"/>
          <w:lang w:val="en-US"/>
        </w:rPr>
      </w:pPr>
      <w:r w:rsidRPr="000D757C">
        <w:rPr>
          <w:sz w:val="20"/>
          <w:szCs w:val="20"/>
          <w:lang w:val="en-US"/>
        </w:rPr>
        <w:t>Lecture</w:t>
      </w:r>
    </w:p>
    <w:p w14:paraId="2B6A6860" w14:textId="77777777" w:rsidR="000D757C" w:rsidRPr="000D757C" w:rsidRDefault="000D757C" w:rsidP="000D757C">
      <w:pPr>
        <w:pStyle w:val="Akapitzlist"/>
        <w:numPr>
          <w:ilvl w:val="0"/>
          <w:numId w:val="17"/>
        </w:numPr>
        <w:spacing w:line="276" w:lineRule="auto"/>
        <w:rPr>
          <w:sz w:val="20"/>
          <w:szCs w:val="20"/>
          <w:lang w:val="en-US"/>
        </w:rPr>
      </w:pPr>
      <w:r w:rsidRPr="000D757C">
        <w:rPr>
          <w:sz w:val="20"/>
          <w:szCs w:val="20"/>
          <w:lang w:val="en-US"/>
        </w:rPr>
        <w:t xml:space="preserve">Power Point Presentation </w:t>
      </w:r>
    </w:p>
    <w:p w14:paraId="3999B110" w14:textId="77777777" w:rsidR="000D757C" w:rsidRPr="000D757C" w:rsidRDefault="000D757C" w:rsidP="000D757C">
      <w:pPr>
        <w:pStyle w:val="Akapitzlist"/>
        <w:numPr>
          <w:ilvl w:val="0"/>
          <w:numId w:val="17"/>
        </w:numPr>
        <w:spacing w:line="276" w:lineRule="auto"/>
        <w:rPr>
          <w:sz w:val="20"/>
          <w:szCs w:val="20"/>
          <w:lang w:val="en-US"/>
        </w:rPr>
      </w:pPr>
      <w:r w:rsidRPr="000D757C">
        <w:rPr>
          <w:sz w:val="20"/>
          <w:szCs w:val="20"/>
          <w:lang w:val="en-US"/>
        </w:rPr>
        <w:lastRenderedPageBreak/>
        <w:t>Group work</w:t>
      </w:r>
    </w:p>
    <w:p w14:paraId="582A7FB0" w14:textId="77777777" w:rsidR="000D757C" w:rsidRPr="000D757C" w:rsidRDefault="000D757C" w:rsidP="000D757C">
      <w:pPr>
        <w:pStyle w:val="Akapitzlist"/>
        <w:numPr>
          <w:ilvl w:val="0"/>
          <w:numId w:val="17"/>
        </w:numPr>
        <w:spacing w:line="276" w:lineRule="auto"/>
        <w:rPr>
          <w:sz w:val="20"/>
          <w:szCs w:val="20"/>
          <w:lang w:val="en-US"/>
        </w:rPr>
      </w:pPr>
      <w:r w:rsidRPr="000D757C">
        <w:rPr>
          <w:sz w:val="20"/>
          <w:szCs w:val="20"/>
          <w:lang w:val="en-US"/>
        </w:rPr>
        <w:t>Discussion</w:t>
      </w:r>
      <w:r w:rsidRPr="000D757C">
        <w:rPr>
          <w:color w:val="538135" w:themeColor="accent6" w:themeShade="BF"/>
          <w:sz w:val="20"/>
          <w:szCs w:val="20"/>
          <w:lang w:val="en-US"/>
        </w:rPr>
        <w:t xml:space="preserve">. </w:t>
      </w:r>
    </w:p>
    <w:p w14:paraId="7C79CD74" w14:textId="77777777" w:rsidR="00771C79" w:rsidRPr="00B9714E" w:rsidRDefault="00771C79" w:rsidP="00771C79">
      <w:pPr>
        <w:pStyle w:val="Akapitzlist"/>
        <w:ind w:left="1440"/>
        <w:rPr>
          <w:color w:val="538135" w:themeColor="accent6" w:themeShade="BF"/>
          <w:sz w:val="20"/>
          <w:szCs w:val="20"/>
          <w:lang w:val="en-US"/>
        </w:rPr>
      </w:pPr>
    </w:p>
    <w:p w14:paraId="6D714CF7" w14:textId="4304E01B" w:rsidR="000D2BAE" w:rsidRPr="00D45F86" w:rsidRDefault="00FF3EDE" w:rsidP="00D766A8">
      <w:pPr>
        <w:pStyle w:val="Akapitzlist"/>
        <w:numPr>
          <w:ilvl w:val="0"/>
          <w:numId w:val="1"/>
        </w:numPr>
        <w:rPr>
          <w:b/>
          <w:sz w:val="20"/>
          <w:szCs w:val="20"/>
          <w:lang w:val="en-US"/>
        </w:rPr>
      </w:pPr>
      <w:r>
        <w:rPr>
          <w:b/>
          <w:sz w:val="20"/>
          <w:szCs w:val="20"/>
          <w:lang w:val="en-US"/>
        </w:rPr>
        <w:t>General</w:t>
      </w:r>
      <w:r w:rsidR="00D45F86" w:rsidRPr="00D45F86">
        <w:rPr>
          <w:b/>
          <w:sz w:val="20"/>
          <w:szCs w:val="20"/>
          <w:lang w:val="en-US"/>
        </w:rPr>
        <w:t xml:space="preserve"> c</w:t>
      </w:r>
      <w:r w:rsidR="000D2BAE" w:rsidRPr="00D45F86">
        <w:rPr>
          <w:b/>
          <w:sz w:val="20"/>
          <w:szCs w:val="20"/>
          <w:lang w:val="en-US"/>
        </w:rPr>
        <w:t>lasses plan</w:t>
      </w:r>
    </w:p>
    <w:p w14:paraId="53AA4ED1" w14:textId="137A73EA" w:rsidR="00401B6B" w:rsidRPr="00401B6B" w:rsidRDefault="00401B6B" w:rsidP="00B34EB5">
      <w:pPr>
        <w:pStyle w:val="Akapitzlist"/>
        <w:numPr>
          <w:ilvl w:val="0"/>
          <w:numId w:val="18"/>
        </w:numPr>
        <w:rPr>
          <w:color w:val="000000" w:themeColor="text1"/>
          <w:sz w:val="20"/>
          <w:szCs w:val="20"/>
          <w:lang w:val="en-US"/>
        </w:rPr>
      </w:pPr>
      <w:r w:rsidRPr="00401B6B">
        <w:rPr>
          <w:color w:val="000000" w:themeColor="text1"/>
          <w:sz w:val="20"/>
          <w:szCs w:val="20"/>
          <w:u w:val="single"/>
          <w:lang w:val="en-US"/>
        </w:rPr>
        <w:t xml:space="preserve">Session 1: Introduction – SLCA </w:t>
      </w:r>
      <w:r w:rsidR="00E80CD5" w:rsidRPr="00401B6B">
        <w:rPr>
          <w:color w:val="000000" w:themeColor="text1"/>
          <w:sz w:val="20"/>
          <w:szCs w:val="20"/>
          <w:u w:val="single"/>
          <w:lang w:val="en-US"/>
        </w:rPr>
        <w:t>(2</w:t>
      </w:r>
      <w:r w:rsidR="00255B9A" w:rsidRPr="00401B6B">
        <w:rPr>
          <w:color w:val="000000" w:themeColor="text1"/>
          <w:sz w:val="20"/>
          <w:szCs w:val="20"/>
          <w:u w:val="single"/>
          <w:lang w:val="en-US"/>
        </w:rPr>
        <w:t>x45</w:t>
      </w:r>
      <w:r w:rsidR="00D63B0E">
        <w:rPr>
          <w:color w:val="000000" w:themeColor="text1"/>
          <w:sz w:val="20"/>
          <w:szCs w:val="20"/>
          <w:u w:val="single"/>
          <w:lang w:val="en-US"/>
        </w:rPr>
        <w:t xml:space="preserve"> min</w:t>
      </w:r>
      <w:r w:rsidR="00E80CD5" w:rsidRPr="00401B6B">
        <w:rPr>
          <w:color w:val="000000" w:themeColor="text1"/>
          <w:sz w:val="20"/>
          <w:szCs w:val="20"/>
          <w:u w:val="single"/>
          <w:lang w:val="en-US"/>
        </w:rPr>
        <w:t>)</w:t>
      </w:r>
      <w:r w:rsidRPr="00401B6B">
        <w:rPr>
          <w:color w:val="000000" w:themeColor="text1"/>
          <w:sz w:val="20"/>
          <w:szCs w:val="20"/>
          <w:u w:val="single"/>
          <w:lang w:val="en-US"/>
        </w:rPr>
        <w:t xml:space="preserve">: </w:t>
      </w:r>
      <w:r w:rsidRPr="00401B6B">
        <w:rPr>
          <w:color w:val="000000" w:themeColor="text1"/>
          <w:sz w:val="20"/>
          <w:szCs w:val="20"/>
          <w:lang w:val="en-US"/>
        </w:rPr>
        <w:t>Sustainability Assessment, Social Assessment Methods, Indicators, Introduction to Life Cycle Assessment, Social LCA methodology, SLCA case studies in the energy field</w:t>
      </w:r>
      <w:r>
        <w:rPr>
          <w:color w:val="000000" w:themeColor="text1"/>
          <w:sz w:val="20"/>
          <w:szCs w:val="20"/>
          <w:lang w:val="en-US"/>
        </w:rPr>
        <w:t>,</w:t>
      </w:r>
    </w:p>
    <w:p w14:paraId="2EA29525" w14:textId="0D5EC876" w:rsidR="00310DCE" w:rsidRPr="00401B6B" w:rsidRDefault="00310DCE" w:rsidP="00401B6B">
      <w:pPr>
        <w:ind w:left="360"/>
        <w:rPr>
          <w:color w:val="000000" w:themeColor="text1"/>
          <w:sz w:val="20"/>
          <w:szCs w:val="20"/>
          <w:lang w:val="en-US"/>
        </w:rPr>
      </w:pPr>
    </w:p>
    <w:p w14:paraId="78BA46D6" w14:textId="32C66D8F" w:rsidR="00401B6B" w:rsidRPr="00401B6B" w:rsidRDefault="00401B6B" w:rsidP="00401B6B">
      <w:pPr>
        <w:pStyle w:val="Akapitzlist"/>
        <w:numPr>
          <w:ilvl w:val="2"/>
          <w:numId w:val="18"/>
        </w:numPr>
        <w:spacing w:after="0"/>
        <w:ind w:left="1418"/>
        <w:rPr>
          <w:sz w:val="20"/>
          <w:szCs w:val="20"/>
          <w:lang w:val="en-US"/>
        </w:rPr>
      </w:pPr>
      <w:r>
        <w:rPr>
          <w:sz w:val="20"/>
          <w:szCs w:val="20"/>
          <w:lang w:val="en-US"/>
        </w:rPr>
        <w:t>10 min i</w:t>
      </w:r>
      <w:r w:rsidRPr="00401B6B">
        <w:rPr>
          <w:sz w:val="20"/>
          <w:szCs w:val="20"/>
          <w:lang w:val="en-US"/>
        </w:rPr>
        <w:t xml:space="preserve">ntroduce </w:t>
      </w:r>
      <w:r>
        <w:rPr>
          <w:sz w:val="20"/>
          <w:szCs w:val="20"/>
          <w:lang w:val="en-US"/>
        </w:rPr>
        <w:t xml:space="preserve">of </w:t>
      </w:r>
      <w:r w:rsidRPr="00401B6B">
        <w:rPr>
          <w:sz w:val="20"/>
          <w:szCs w:val="20"/>
          <w:lang w:val="en-US"/>
        </w:rPr>
        <w:t>the concept of sustainability assessment</w:t>
      </w:r>
      <w:r>
        <w:rPr>
          <w:sz w:val="20"/>
          <w:szCs w:val="20"/>
          <w:lang w:val="en-US"/>
        </w:rPr>
        <w:t xml:space="preserve"> by the teacher, stressing its </w:t>
      </w:r>
      <w:r w:rsidRPr="00401B6B">
        <w:rPr>
          <w:sz w:val="20"/>
          <w:szCs w:val="20"/>
          <w:lang w:val="en-US"/>
        </w:rPr>
        <w:t>important in the energy field</w:t>
      </w:r>
      <w:r>
        <w:rPr>
          <w:sz w:val="20"/>
          <w:szCs w:val="20"/>
          <w:lang w:val="en-US"/>
        </w:rPr>
        <w:t>.</w:t>
      </w:r>
      <w:r w:rsidRPr="00401B6B">
        <w:rPr>
          <w:sz w:val="20"/>
          <w:szCs w:val="20"/>
          <w:lang w:val="en-US"/>
        </w:rPr>
        <w:t xml:space="preserve"> </w:t>
      </w:r>
    </w:p>
    <w:p w14:paraId="336FEAF9" w14:textId="147B683A" w:rsidR="00401B6B" w:rsidRPr="00401B6B" w:rsidRDefault="00401B6B" w:rsidP="00401B6B">
      <w:pPr>
        <w:pStyle w:val="Akapitzlist"/>
        <w:numPr>
          <w:ilvl w:val="2"/>
          <w:numId w:val="18"/>
        </w:numPr>
        <w:spacing w:after="0"/>
        <w:ind w:left="1440"/>
        <w:rPr>
          <w:sz w:val="20"/>
          <w:szCs w:val="20"/>
          <w:lang w:val="en-US"/>
        </w:rPr>
      </w:pPr>
      <w:r>
        <w:rPr>
          <w:sz w:val="20"/>
          <w:szCs w:val="20"/>
          <w:lang w:val="en-US"/>
        </w:rPr>
        <w:t xml:space="preserve">30 min </w:t>
      </w:r>
      <w:r w:rsidRPr="00401B6B">
        <w:rPr>
          <w:sz w:val="20"/>
          <w:szCs w:val="20"/>
          <w:lang w:val="en-US"/>
        </w:rPr>
        <w:t xml:space="preserve">Presentation </w:t>
      </w:r>
      <w:r>
        <w:rPr>
          <w:sz w:val="20"/>
          <w:szCs w:val="20"/>
          <w:lang w:val="en-US"/>
        </w:rPr>
        <w:t>and g</w:t>
      </w:r>
      <w:r w:rsidR="003C0DD3">
        <w:rPr>
          <w:sz w:val="20"/>
          <w:szCs w:val="20"/>
          <w:lang w:val="en-US"/>
        </w:rPr>
        <w:t>roup work on indicators.</w:t>
      </w:r>
    </w:p>
    <w:p w14:paraId="5D7522A5" w14:textId="1CC09443" w:rsidR="00401B6B" w:rsidRPr="003C0DD3" w:rsidRDefault="003C0DD3" w:rsidP="003C0DD3">
      <w:pPr>
        <w:pStyle w:val="Akapitzlist"/>
        <w:numPr>
          <w:ilvl w:val="2"/>
          <w:numId w:val="18"/>
        </w:numPr>
        <w:spacing w:after="0"/>
        <w:ind w:left="1440"/>
        <w:rPr>
          <w:sz w:val="20"/>
          <w:szCs w:val="20"/>
          <w:lang w:val="en-US"/>
        </w:rPr>
      </w:pPr>
      <w:r>
        <w:rPr>
          <w:sz w:val="20"/>
          <w:szCs w:val="20"/>
          <w:lang w:val="en-US"/>
        </w:rPr>
        <w:t xml:space="preserve">30 min </w:t>
      </w:r>
      <w:r w:rsidR="00401B6B" w:rsidRPr="00401B6B">
        <w:rPr>
          <w:sz w:val="20"/>
          <w:szCs w:val="20"/>
          <w:lang w:val="en-US"/>
        </w:rPr>
        <w:t>Introduction to Life Cycle Assessment</w:t>
      </w:r>
      <w:r>
        <w:rPr>
          <w:sz w:val="20"/>
          <w:szCs w:val="20"/>
          <w:lang w:val="en-US"/>
        </w:rPr>
        <w:t xml:space="preserve">, to the Social Assessment Methods, and to the </w:t>
      </w:r>
      <w:r w:rsidR="00401B6B" w:rsidRPr="003C0DD3">
        <w:rPr>
          <w:sz w:val="20"/>
          <w:szCs w:val="20"/>
          <w:lang w:val="en-US"/>
        </w:rPr>
        <w:t>SLCA Methodology</w:t>
      </w:r>
      <w:r>
        <w:rPr>
          <w:sz w:val="20"/>
          <w:szCs w:val="20"/>
          <w:lang w:val="en-US"/>
        </w:rPr>
        <w:t>.</w:t>
      </w:r>
    </w:p>
    <w:p w14:paraId="71BEF4F9" w14:textId="3E26D1E3" w:rsidR="00401B6B" w:rsidRPr="00401B6B" w:rsidRDefault="003C0DD3" w:rsidP="00401B6B">
      <w:pPr>
        <w:pStyle w:val="Akapitzlist"/>
        <w:numPr>
          <w:ilvl w:val="2"/>
          <w:numId w:val="18"/>
        </w:numPr>
        <w:spacing w:after="0"/>
        <w:ind w:left="1440"/>
        <w:rPr>
          <w:sz w:val="20"/>
          <w:szCs w:val="20"/>
          <w:lang w:val="en-US"/>
        </w:rPr>
      </w:pPr>
      <w:r>
        <w:rPr>
          <w:sz w:val="20"/>
          <w:szCs w:val="20"/>
          <w:lang w:val="en-US"/>
        </w:rPr>
        <w:t xml:space="preserve">15 min </w:t>
      </w:r>
      <w:r w:rsidR="00401B6B" w:rsidRPr="00401B6B">
        <w:rPr>
          <w:sz w:val="20"/>
          <w:szCs w:val="20"/>
          <w:lang w:val="en-US"/>
        </w:rPr>
        <w:t>SLCA case studies in the energy field</w:t>
      </w:r>
      <w:r>
        <w:rPr>
          <w:sz w:val="20"/>
          <w:szCs w:val="20"/>
          <w:lang w:val="en-US"/>
        </w:rPr>
        <w:t>, which exemplify the usefulness of the approach.</w:t>
      </w:r>
    </w:p>
    <w:p w14:paraId="6E668ED9" w14:textId="70616DD5" w:rsidR="00401B6B" w:rsidRDefault="003C0DD3" w:rsidP="00401B6B">
      <w:pPr>
        <w:pStyle w:val="Akapitzlist"/>
        <w:numPr>
          <w:ilvl w:val="2"/>
          <w:numId w:val="18"/>
        </w:numPr>
        <w:spacing w:after="0"/>
        <w:ind w:left="1440"/>
        <w:rPr>
          <w:sz w:val="20"/>
          <w:szCs w:val="20"/>
          <w:lang w:val="en-US"/>
        </w:rPr>
      </w:pPr>
      <w:r>
        <w:rPr>
          <w:sz w:val="20"/>
          <w:szCs w:val="20"/>
          <w:lang w:val="en-US"/>
        </w:rPr>
        <w:t xml:space="preserve">10 min preparation </w:t>
      </w:r>
      <w:r w:rsidR="00401B6B" w:rsidRPr="00401B6B">
        <w:rPr>
          <w:sz w:val="20"/>
          <w:szCs w:val="20"/>
          <w:lang w:val="en-US"/>
        </w:rPr>
        <w:t>for session 2</w:t>
      </w:r>
    </w:p>
    <w:p w14:paraId="64BF8361" w14:textId="77777777" w:rsidR="003C0DD3" w:rsidRPr="003C0DD3" w:rsidRDefault="003C0DD3" w:rsidP="003C0DD3">
      <w:pPr>
        <w:spacing w:after="0"/>
        <w:rPr>
          <w:sz w:val="20"/>
          <w:szCs w:val="20"/>
          <w:lang w:val="en-US"/>
        </w:rPr>
      </w:pPr>
    </w:p>
    <w:p w14:paraId="27ED9DFB" w14:textId="0D3A589A" w:rsidR="00310DCE" w:rsidRPr="0068650E" w:rsidRDefault="00E80CD5" w:rsidP="000D757C">
      <w:pPr>
        <w:pStyle w:val="Akapitzlist"/>
        <w:numPr>
          <w:ilvl w:val="1"/>
          <w:numId w:val="18"/>
        </w:numPr>
        <w:ind w:left="720"/>
        <w:rPr>
          <w:color w:val="000000" w:themeColor="text1"/>
          <w:sz w:val="20"/>
          <w:szCs w:val="20"/>
          <w:u w:val="single"/>
          <w:lang w:val="en-US"/>
        </w:rPr>
      </w:pPr>
      <w:r>
        <w:rPr>
          <w:color w:val="000000" w:themeColor="text1"/>
          <w:sz w:val="20"/>
          <w:szCs w:val="20"/>
          <w:u w:val="single"/>
          <w:lang w:val="en-US"/>
        </w:rPr>
        <w:t>S</w:t>
      </w:r>
      <w:r w:rsidR="0068650E" w:rsidRPr="0068650E">
        <w:rPr>
          <w:color w:val="000000" w:themeColor="text1"/>
          <w:sz w:val="20"/>
          <w:szCs w:val="20"/>
          <w:u w:val="single"/>
          <w:lang w:val="en-US"/>
        </w:rPr>
        <w:t>e</w:t>
      </w:r>
      <w:r>
        <w:rPr>
          <w:color w:val="000000" w:themeColor="text1"/>
          <w:sz w:val="20"/>
          <w:szCs w:val="20"/>
          <w:u w:val="single"/>
          <w:lang w:val="en-US"/>
        </w:rPr>
        <w:t>ssion</w:t>
      </w:r>
      <w:r w:rsidR="0068650E" w:rsidRPr="0068650E">
        <w:rPr>
          <w:color w:val="000000" w:themeColor="text1"/>
          <w:sz w:val="20"/>
          <w:szCs w:val="20"/>
          <w:u w:val="single"/>
          <w:lang w:val="en-US"/>
        </w:rPr>
        <w:t xml:space="preserve"> 2 </w:t>
      </w:r>
      <w:r>
        <w:rPr>
          <w:color w:val="000000" w:themeColor="text1"/>
          <w:sz w:val="20"/>
          <w:szCs w:val="20"/>
          <w:u w:val="single"/>
          <w:lang w:val="en-US"/>
        </w:rPr>
        <w:t>Develop a S-LCA analysis</w:t>
      </w:r>
      <w:r w:rsidR="0068650E" w:rsidRPr="0068650E">
        <w:rPr>
          <w:color w:val="000000" w:themeColor="text1"/>
          <w:sz w:val="20"/>
          <w:szCs w:val="20"/>
          <w:u w:val="single"/>
          <w:lang w:val="en-US"/>
        </w:rPr>
        <w:t xml:space="preserve"> (</w:t>
      </w:r>
      <w:r w:rsidR="00255B9A">
        <w:rPr>
          <w:color w:val="000000" w:themeColor="text1"/>
          <w:sz w:val="20"/>
          <w:szCs w:val="20"/>
          <w:u w:val="single"/>
          <w:lang w:val="en-US"/>
        </w:rPr>
        <w:t>3x45</w:t>
      </w:r>
      <w:r w:rsidR="0068650E" w:rsidRPr="0068650E">
        <w:rPr>
          <w:color w:val="000000" w:themeColor="text1"/>
          <w:sz w:val="20"/>
          <w:szCs w:val="20"/>
          <w:u w:val="single"/>
          <w:lang w:val="en-US"/>
        </w:rPr>
        <w:t>)</w:t>
      </w:r>
    </w:p>
    <w:p w14:paraId="2BA9D93D" w14:textId="15C330FA" w:rsidR="00D3343A" w:rsidRDefault="00D63B0E" w:rsidP="000D757C">
      <w:pPr>
        <w:pStyle w:val="Akapitzlist"/>
        <w:numPr>
          <w:ilvl w:val="2"/>
          <w:numId w:val="18"/>
        </w:numPr>
        <w:spacing w:after="0"/>
        <w:ind w:left="1440"/>
        <w:rPr>
          <w:sz w:val="20"/>
          <w:szCs w:val="20"/>
          <w:lang w:val="en-US"/>
        </w:rPr>
      </w:pPr>
      <w:r>
        <w:rPr>
          <w:sz w:val="20"/>
          <w:szCs w:val="20"/>
          <w:lang w:val="en-US"/>
        </w:rPr>
        <w:t>20 min p</w:t>
      </w:r>
      <w:r w:rsidR="00D3343A" w:rsidRPr="00771C79">
        <w:rPr>
          <w:sz w:val="20"/>
          <w:szCs w:val="20"/>
          <w:lang w:val="en-US"/>
        </w:rPr>
        <w:t>resentation of the case study (</w:t>
      </w:r>
      <w:r w:rsidR="00D3343A">
        <w:rPr>
          <w:sz w:val="20"/>
          <w:szCs w:val="20"/>
          <w:lang w:val="en-US"/>
        </w:rPr>
        <w:t xml:space="preserve">by </w:t>
      </w:r>
      <w:r>
        <w:rPr>
          <w:sz w:val="20"/>
          <w:szCs w:val="20"/>
          <w:lang w:val="en-US"/>
        </w:rPr>
        <w:t xml:space="preserve">a team of </w:t>
      </w:r>
      <w:r w:rsidR="00D3343A">
        <w:rPr>
          <w:sz w:val="20"/>
          <w:szCs w:val="20"/>
          <w:lang w:val="en-US"/>
        </w:rPr>
        <w:t>students</w:t>
      </w:r>
      <w:r w:rsidR="00D3343A" w:rsidRPr="00771C79">
        <w:rPr>
          <w:sz w:val="20"/>
          <w:szCs w:val="20"/>
          <w:lang w:val="en-US"/>
        </w:rPr>
        <w:t>)</w:t>
      </w:r>
    </w:p>
    <w:p w14:paraId="6A76353B" w14:textId="218FCD32" w:rsidR="00D63B0E" w:rsidRPr="00D63B0E" w:rsidRDefault="00D63B0E" w:rsidP="00D63B0E">
      <w:pPr>
        <w:pStyle w:val="Akapitzlist"/>
        <w:numPr>
          <w:ilvl w:val="2"/>
          <w:numId w:val="18"/>
        </w:numPr>
        <w:spacing w:after="0"/>
        <w:ind w:left="1440"/>
        <w:rPr>
          <w:sz w:val="20"/>
          <w:szCs w:val="20"/>
          <w:lang w:val="en-US"/>
        </w:rPr>
      </w:pPr>
      <w:r>
        <w:rPr>
          <w:color w:val="000000" w:themeColor="text1"/>
          <w:sz w:val="20"/>
          <w:szCs w:val="20"/>
          <w:lang w:val="en-US"/>
        </w:rPr>
        <w:t>5 m</w:t>
      </w:r>
      <w:r w:rsidRPr="00D63B0E">
        <w:rPr>
          <w:color w:val="000000" w:themeColor="text1"/>
          <w:sz w:val="20"/>
          <w:szCs w:val="20"/>
          <w:lang w:val="en-US"/>
        </w:rPr>
        <w:t xml:space="preserve">in </w:t>
      </w:r>
      <w:r>
        <w:rPr>
          <w:color w:val="000000" w:themeColor="text1"/>
          <w:sz w:val="20"/>
          <w:szCs w:val="20"/>
          <w:lang w:val="en-US"/>
        </w:rPr>
        <w:t>remainder by the teacher of the basic SLCA steps.</w:t>
      </w:r>
    </w:p>
    <w:p w14:paraId="60B1D871" w14:textId="02CEC48B" w:rsidR="00A631C5" w:rsidRPr="00D63B0E" w:rsidRDefault="00D63B0E" w:rsidP="00D63B0E">
      <w:pPr>
        <w:pStyle w:val="Akapitzlist"/>
        <w:numPr>
          <w:ilvl w:val="2"/>
          <w:numId w:val="18"/>
        </w:numPr>
        <w:spacing w:after="0"/>
        <w:ind w:left="1440"/>
        <w:rPr>
          <w:sz w:val="20"/>
          <w:szCs w:val="20"/>
          <w:lang w:val="en-US"/>
        </w:rPr>
      </w:pPr>
      <w:r>
        <w:rPr>
          <w:color w:val="000000" w:themeColor="text1"/>
          <w:sz w:val="20"/>
          <w:szCs w:val="20"/>
          <w:lang w:val="en-US"/>
        </w:rPr>
        <w:t xml:space="preserve">95 min  </w:t>
      </w:r>
      <w:r w:rsidR="00D3343A" w:rsidRPr="00D63B0E">
        <w:rPr>
          <w:color w:val="000000" w:themeColor="text1"/>
          <w:sz w:val="20"/>
          <w:szCs w:val="20"/>
          <w:lang w:val="en-US"/>
        </w:rPr>
        <w:t xml:space="preserve">Workshop on SLCA development following the main framework (group work </w:t>
      </w:r>
      <w:r>
        <w:rPr>
          <w:color w:val="000000" w:themeColor="text1"/>
          <w:sz w:val="20"/>
          <w:szCs w:val="20"/>
          <w:lang w:val="en-US"/>
        </w:rPr>
        <w:t xml:space="preserve">on different aspects, </w:t>
      </w:r>
      <w:r w:rsidR="00D3343A" w:rsidRPr="00D63B0E">
        <w:rPr>
          <w:color w:val="000000" w:themeColor="text1"/>
          <w:sz w:val="20"/>
          <w:szCs w:val="20"/>
          <w:lang w:val="en-US"/>
        </w:rPr>
        <w:t xml:space="preserve">and </w:t>
      </w:r>
      <w:r>
        <w:rPr>
          <w:color w:val="000000" w:themeColor="text1"/>
          <w:sz w:val="20"/>
          <w:szCs w:val="20"/>
          <w:lang w:val="en-US"/>
        </w:rPr>
        <w:t xml:space="preserve">open </w:t>
      </w:r>
      <w:r w:rsidR="00D3343A" w:rsidRPr="00D63B0E">
        <w:rPr>
          <w:color w:val="000000" w:themeColor="text1"/>
          <w:sz w:val="20"/>
          <w:szCs w:val="20"/>
          <w:lang w:val="en-US"/>
        </w:rPr>
        <w:t>discussion</w:t>
      </w:r>
      <w:r>
        <w:rPr>
          <w:color w:val="000000" w:themeColor="text1"/>
          <w:sz w:val="20"/>
          <w:szCs w:val="20"/>
          <w:lang w:val="en-US"/>
        </w:rPr>
        <w:t>s</w:t>
      </w:r>
      <w:r w:rsidR="00D3343A" w:rsidRPr="00D63B0E">
        <w:rPr>
          <w:color w:val="000000" w:themeColor="text1"/>
          <w:sz w:val="20"/>
          <w:szCs w:val="20"/>
          <w:lang w:val="en-US"/>
        </w:rPr>
        <w:t>)</w:t>
      </w:r>
    </w:p>
    <w:p w14:paraId="4121789F" w14:textId="24896574" w:rsidR="0068650E" w:rsidRPr="00D63B0E" w:rsidRDefault="00D63B0E" w:rsidP="00D63B0E">
      <w:pPr>
        <w:pStyle w:val="Akapitzlist"/>
        <w:numPr>
          <w:ilvl w:val="2"/>
          <w:numId w:val="18"/>
        </w:numPr>
        <w:ind w:left="1440"/>
        <w:rPr>
          <w:color w:val="000000" w:themeColor="text1"/>
          <w:sz w:val="20"/>
          <w:szCs w:val="20"/>
          <w:lang w:val="en-US"/>
        </w:rPr>
      </w:pPr>
      <w:r>
        <w:rPr>
          <w:color w:val="000000" w:themeColor="text1"/>
          <w:sz w:val="20"/>
          <w:szCs w:val="20"/>
          <w:lang w:val="en-US"/>
        </w:rPr>
        <w:t xml:space="preserve">15 min final discussion on the quality of the work done and the limitations of the methodology. </w:t>
      </w:r>
    </w:p>
    <w:p w14:paraId="17FC9E08" w14:textId="1DFD1E32" w:rsidR="00787685" w:rsidRDefault="00D63B0E" w:rsidP="00D63B0E">
      <w:pPr>
        <w:ind w:left="360"/>
        <w:rPr>
          <w:color w:val="000000" w:themeColor="text1"/>
          <w:sz w:val="20"/>
          <w:szCs w:val="20"/>
          <w:u w:val="single"/>
          <w:lang w:val="en-US"/>
        </w:rPr>
      </w:pPr>
      <w:r w:rsidRPr="00D63B0E">
        <w:rPr>
          <w:color w:val="000000" w:themeColor="text1"/>
          <w:sz w:val="20"/>
          <w:szCs w:val="20"/>
          <w:u w:val="single"/>
          <w:lang w:val="en-US"/>
        </w:rPr>
        <w:t>Material needed</w:t>
      </w:r>
    </w:p>
    <w:p w14:paraId="127C2DD2" w14:textId="1FCB20CF" w:rsidR="00D63B0E" w:rsidRDefault="00D63B0E" w:rsidP="00D63B0E">
      <w:pPr>
        <w:ind w:left="360"/>
        <w:rPr>
          <w:color w:val="000000" w:themeColor="text1"/>
          <w:sz w:val="20"/>
          <w:szCs w:val="20"/>
          <w:lang w:val="en-US"/>
        </w:rPr>
      </w:pPr>
      <w:r w:rsidRPr="00D63B0E">
        <w:rPr>
          <w:color w:val="000000" w:themeColor="text1"/>
          <w:sz w:val="20"/>
          <w:szCs w:val="20"/>
          <w:lang w:val="en-US"/>
        </w:rPr>
        <w:t xml:space="preserve">Power </w:t>
      </w:r>
      <w:r>
        <w:rPr>
          <w:color w:val="000000" w:themeColor="text1"/>
          <w:sz w:val="20"/>
          <w:szCs w:val="20"/>
          <w:lang w:val="en-US"/>
        </w:rPr>
        <w:t>point presentation + computer + additional files provided with the TM</w:t>
      </w:r>
    </w:p>
    <w:p w14:paraId="73071CC6" w14:textId="1E20D841" w:rsidR="00D63B0E" w:rsidRDefault="00D63B0E" w:rsidP="00D63B0E">
      <w:pPr>
        <w:ind w:left="360"/>
        <w:rPr>
          <w:color w:val="000000" w:themeColor="text1"/>
          <w:sz w:val="20"/>
          <w:szCs w:val="20"/>
          <w:lang w:val="en-US"/>
        </w:rPr>
      </w:pPr>
      <w:r>
        <w:rPr>
          <w:color w:val="000000" w:themeColor="text1"/>
          <w:sz w:val="20"/>
          <w:szCs w:val="20"/>
          <w:lang w:val="en-US"/>
        </w:rPr>
        <w:t>Printed Handouts for the activity in the first session (if students don’t bring their laptops)</w:t>
      </w:r>
    </w:p>
    <w:p w14:paraId="3528BB84" w14:textId="1208BA16" w:rsidR="00D63B0E" w:rsidRPr="00D63B0E" w:rsidRDefault="00D63B0E" w:rsidP="00D63B0E">
      <w:pPr>
        <w:ind w:left="360"/>
        <w:rPr>
          <w:color w:val="000000" w:themeColor="text1"/>
          <w:sz w:val="20"/>
          <w:szCs w:val="20"/>
          <w:lang w:val="en-US"/>
        </w:rPr>
      </w:pPr>
      <w:r>
        <w:rPr>
          <w:color w:val="000000" w:themeColor="text1"/>
          <w:sz w:val="20"/>
          <w:szCs w:val="20"/>
          <w:lang w:val="en-US"/>
        </w:rPr>
        <w:t>For the second session students should bring at least one laptop per team (in this case, all the handouts can be used in their electronic form).</w:t>
      </w:r>
    </w:p>
    <w:p w14:paraId="7C4F1FE0" w14:textId="77777777" w:rsidR="00D45F86" w:rsidRPr="00D45F86" w:rsidRDefault="00D45F86" w:rsidP="00D766A8">
      <w:pPr>
        <w:pStyle w:val="Akapitzlist"/>
        <w:numPr>
          <w:ilvl w:val="0"/>
          <w:numId w:val="1"/>
        </w:numPr>
        <w:rPr>
          <w:b/>
          <w:sz w:val="20"/>
          <w:szCs w:val="20"/>
          <w:lang w:val="en-US"/>
        </w:rPr>
      </w:pPr>
      <w:r w:rsidRPr="00D45F86">
        <w:rPr>
          <w:b/>
          <w:sz w:val="20"/>
          <w:szCs w:val="20"/>
          <w:lang w:val="en-US"/>
        </w:rPr>
        <w:t>TM assessment methods &amp; criteria</w:t>
      </w:r>
    </w:p>
    <w:p w14:paraId="0286C1A0" w14:textId="4791B27C" w:rsidR="00D45F86" w:rsidRDefault="00D45F86" w:rsidP="00D45F86">
      <w:pPr>
        <w:pStyle w:val="Akapitzlist"/>
        <w:rPr>
          <w:b/>
          <w:sz w:val="20"/>
          <w:szCs w:val="20"/>
          <w:lang w:val="en-US"/>
        </w:rPr>
      </w:pPr>
      <w:r w:rsidRPr="00D45F86">
        <w:rPr>
          <w:b/>
          <w:color w:val="538135" w:themeColor="accent6" w:themeShade="BF"/>
          <w:sz w:val="20"/>
          <w:szCs w:val="20"/>
          <w:lang w:val="en-US"/>
        </w:rPr>
        <w:t>IGNORE THIS POINT FOR THE TIME BEING.</w:t>
      </w:r>
      <w:r w:rsidRPr="00D45F86">
        <w:rPr>
          <w:b/>
          <w:sz w:val="20"/>
          <w:szCs w:val="20"/>
          <w:lang w:val="en-US"/>
        </w:rPr>
        <w:t xml:space="preserve"> </w:t>
      </w:r>
    </w:p>
    <w:p w14:paraId="3B791C8F" w14:textId="77777777" w:rsidR="00895A72" w:rsidRPr="00D45F86" w:rsidRDefault="00895A72" w:rsidP="00D45F86">
      <w:pPr>
        <w:pStyle w:val="Akapitzlist"/>
        <w:rPr>
          <w:b/>
          <w:sz w:val="20"/>
          <w:szCs w:val="20"/>
          <w:lang w:val="en-US"/>
        </w:rPr>
      </w:pPr>
    </w:p>
    <w:p w14:paraId="06BEC450" w14:textId="67D3B63A" w:rsidR="00D45F86" w:rsidRDefault="00D45F86" w:rsidP="00D766A8">
      <w:pPr>
        <w:pStyle w:val="Akapitzlist"/>
        <w:numPr>
          <w:ilvl w:val="0"/>
          <w:numId w:val="1"/>
        </w:numPr>
        <w:rPr>
          <w:b/>
          <w:sz w:val="20"/>
          <w:szCs w:val="20"/>
          <w:lang w:val="en-US"/>
        </w:rPr>
      </w:pPr>
      <w:r w:rsidRPr="00D45F86">
        <w:rPr>
          <w:b/>
          <w:sz w:val="20"/>
          <w:szCs w:val="20"/>
          <w:lang w:val="en-US"/>
        </w:rPr>
        <w:t>Literature</w:t>
      </w:r>
      <w:r w:rsidR="004E41D4">
        <w:rPr>
          <w:b/>
          <w:sz w:val="20"/>
          <w:szCs w:val="20"/>
          <w:lang w:val="en-US"/>
        </w:rPr>
        <w:t xml:space="preserve"> and other materials</w:t>
      </w:r>
    </w:p>
    <w:p w14:paraId="79ECA71C" w14:textId="77777777" w:rsidR="00895A72" w:rsidRPr="00683FCB" w:rsidRDefault="00895A72" w:rsidP="00895A72">
      <w:pPr>
        <w:ind w:left="360"/>
        <w:rPr>
          <w:sz w:val="20"/>
          <w:szCs w:val="20"/>
          <w:u w:val="single"/>
          <w:lang w:val="en-US"/>
        </w:rPr>
      </w:pPr>
      <w:r w:rsidRPr="00683FCB">
        <w:rPr>
          <w:sz w:val="20"/>
          <w:szCs w:val="20"/>
          <w:u w:val="single"/>
          <w:lang w:val="en-US"/>
        </w:rPr>
        <w:t xml:space="preserve">Sustainability assessment  </w:t>
      </w:r>
    </w:p>
    <w:p w14:paraId="2340763C" w14:textId="77777777" w:rsidR="00683FCB" w:rsidRDefault="00895A72" w:rsidP="00683FCB">
      <w:pPr>
        <w:pStyle w:val="Akapitzlist"/>
        <w:numPr>
          <w:ilvl w:val="0"/>
          <w:numId w:val="19"/>
        </w:numPr>
        <w:rPr>
          <w:sz w:val="20"/>
          <w:szCs w:val="20"/>
          <w:lang w:val="en-US"/>
        </w:rPr>
      </w:pPr>
      <w:r w:rsidRPr="00683FCB">
        <w:rPr>
          <w:sz w:val="20"/>
          <w:szCs w:val="20"/>
          <w:lang w:val="en-US"/>
        </w:rPr>
        <w:t>Bhandari, R.; Saptalena, L. G.; Kusch, W. (2018) Sustainability assessment of a micro hydropower plant in Nepal. Energy, Sustainability and Society 8:3.</w:t>
      </w:r>
    </w:p>
    <w:p w14:paraId="06F9A452" w14:textId="77777777" w:rsidR="00683FCB" w:rsidRDefault="00895A72" w:rsidP="00683FCB">
      <w:pPr>
        <w:pStyle w:val="Akapitzlist"/>
        <w:numPr>
          <w:ilvl w:val="0"/>
          <w:numId w:val="19"/>
        </w:numPr>
        <w:rPr>
          <w:sz w:val="20"/>
          <w:szCs w:val="20"/>
          <w:lang w:val="en-US"/>
        </w:rPr>
      </w:pPr>
      <w:r w:rsidRPr="00683FCB">
        <w:rPr>
          <w:sz w:val="20"/>
          <w:szCs w:val="20"/>
          <w:lang w:val="en-US"/>
        </w:rPr>
        <w:t>Didem Dizarglu: The role of indicator-based sustainability assessment in policy and the decision-making process: a review and Outlook Sustainability 2017,</w:t>
      </w:r>
      <w:r w:rsidR="00683FCB">
        <w:rPr>
          <w:sz w:val="20"/>
          <w:szCs w:val="20"/>
          <w:lang w:val="en-US"/>
        </w:rPr>
        <w:t xml:space="preserve"> 9, 1018; doi:10.3390/su9061018</w:t>
      </w:r>
    </w:p>
    <w:p w14:paraId="4D6FDB55" w14:textId="77777777" w:rsidR="00683FCB" w:rsidRDefault="00895A72" w:rsidP="00683FCB">
      <w:pPr>
        <w:pStyle w:val="Akapitzlist"/>
        <w:numPr>
          <w:ilvl w:val="0"/>
          <w:numId w:val="19"/>
        </w:numPr>
        <w:rPr>
          <w:sz w:val="20"/>
          <w:szCs w:val="20"/>
          <w:lang w:val="en-US"/>
        </w:rPr>
      </w:pPr>
      <w:r w:rsidRPr="00683FCB">
        <w:rPr>
          <w:sz w:val="20"/>
          <w:szCs w:val="20"/>
          <w:lang w:val="en-US"/>
        </w:rPr>
        <w:t xml:space="preserve">Freudenburg, W.R. 1986: Social impact assessment. Ann Rev Sociol 12, 451-478. </w:t>
      </w:r>
    </w:p>
    <w:p w14:paraId="24DDC023" w14:textId="77777777" w:rsidR="00683FCB" w:rsidRDefault="00895A72" w:rsidP="00683FCB">
      <w:pPr>
        <w:pStyle w:val="Akapitzlist"/>
        <w:numPr>
          <w:ilvl w:val="0"/>
          <w:numId w:val="19"/>
        </w:numPr>
        <w:rPr>
          <w:sz w:val="20"/>
          <w:szCs w:val="20"/>
          <w:lang w:val="en-US"/>
        </w:rPr>
      </w:pPr>
      <w:r w:rsidRPr="00683FCB">
        <w:rPr>
          <w:sz w:val="20"/>
          <w:szCs w:val="20"/>
          <w:lang w:val="en-US"/>
        </w:rPr>
        <w:lastRenderedPageBreak/>
        <w:t>Ness, B., Urbel-Piirsalu, E., Anderberg, S., Olsson, L. (2007) “Categorising tools for sustainability assessment” Ecological Economics 60, 498 – 508.</w:t>
      </w:r>
    </w:p>
    <w:p w14:paraId="079CC433" w14:textId="7C996C54" w:rsidR="00895A72" w:rsidRPr="00683FCB" w:rsidRDefault="00895A72" w:rsidP="00683FCB">
      <w:pPr>
        <w:pStyle w:val="Akapitzlist"/>
        <w:numPr>
          <w:ilvl w:val="0"/>
          <w:numId w:val="19"/>
        </w:numPr>
        <w:rPr>
          <w:sz w:val="20"/>
          <w:szCs w:val="20"/>
          <w:lang w:val="en-US"/>
        </w:rPr>
      </w:pPr>
      <w:r w:rsidRPr="00683FCB">
        <w:rPr>
          <w:sz w:val="20"/>
          <w:szCs w:val="20"/>
          <w:lang w:val="en-US"/>
        </w:rPr>
        <w:t>Waas, T.; Hugé, J.; Block, T.; Wright, T.; Benitez-Capistros, F.; Verbruggen, A. Sustainability assessment and indicators: Tools in a decision-making strategy for sustainable development. Sustainability 2014, 6, 5512–5534.</w:t>
      </w:r>
    </w:p>
    <w:p w14:paraId="241F9C31" w14:textId="77777777" w:rsidR="00895A72" w:rsidRPr="00683FCB" w:rsidRDefault="00895A72" w:rsidP="00895A72">
      <w:pPr>
        <w:ind w:left="360"/>
        <w:rPr>
          <w:sz w:val="20"/>
          <w:szCs w:val="20"/>
          <w:u w:val="single"/>
          <w:lang w:val="en-US"/>
        </w:rPr>
      </w:pPr>
      <w:r w:rsidRPr="00683FCB">
        <w:rPr>
          <w:sz w:val="20"/>
          <w:szCs w:val="20"/>
          <w:u w:val="single"/>
          <w:lang w:val="en-US"/>
        </w:rPr>
        <w:t xml:space="preserve">Social Life Cycle assessment </w:t>
      </w:r>
    </w:p>
    <w:p w14:paraId="7D2E2809" w14:textId="77777777" w:rsidR="00683FCB" w:rsidRDefault="00895A72" w:rsidP="00683FCB">
      <w:pPr>
        <w:pStyle w:val="Akapitzlist"/>
        <w:numPr>
          <w:ilvl w:val="0"/>
          <w:numId w:val="21"/>
        </w:numPr>
        <w:rPr>
          <w:sz w:val="20"/>
          <w:szCs w:val="20"/>
          <w:lang w:val="en-US"/>
        </w:rPr>
      </w:pPr>
      <w:r w:rsidRPr="00683FCB">
        <w:rPr>
          <w:sz w:val="20"/>
          <w:szCs w:val="20"/>
          <w:lang w:val="en-US"/>
        </w:rPr>
        <w:t xml:space="preserve">Ciroth, A., Eisfeldt, F. (2016), “PSILCA – A Product Social Impact Life Cycle Assessment database. Documentation”, Available from: </w:t>
      </w:r>
      <w:hyperlink r:id="rId7" w:history="1">
        <w:r w:rsidR="00683FCB" w:rsidRPr="00683FCB">
          <w:rPr>
            <w:rStyle w:val="Hipercze"/>
            <w:sz w:val="20"/>
            <w:szCs w:val="20"/>
            <w:lang w:val="en-US"/>
          </w:rPr>
          <w:t>https://nexus.openlca.org/ws/files/9062</w:t>
        </w:r>
      </w:hyperlink>
      <w:r w:rsidR="00683FCB" w:rsidRPr="00683FCB">
        <w:rPr>
          <w:sz w:val="20"/>
          <w:szCs w:val="20"/>
          <w:lang w:val="en-US"/>
        </w:rPr>
        <w:t xml:space="preserve"> </w:t>
      </w:r>
    </w:p>
    <w:p w14:paraId="1D1BF52B" w14:textId="77777777" w:rsidR="00683FCB" w:rsidRDefault="00895A72" w:rsidP="00683FCB">
      <w:pPr>
        <w:pStyle w:val="Akapitzlist"/>
        <w:numPr>
          <w:ilvl w:val="0"/>
          <w:numId w:val="21"/>
        </w:numPr>
        <w:rPr>
          <w:sz w:val="20"/>
          <w:szCs w:val="20"/>
          <w:lang w:val="en-US"/>
        </w:rPr>
      </w:pPr>
      <w:r w:rsidRPr="00683FCB">
        <w:rPr>
          <w:sz w:val="20"/>
          <w:szCs w:val="20"/>
          <w:lang w:val="en-US"/>
        </w:rPr>
        <w:t xml:space="preserve">Petti, L., Serreli, M., Di Cesare, S. (2016) Systematic literature review of social life cycle assessment. International Journal Life Cycle Assessment 23 (3), 422-431.   </w:t>
      </w:r>
    </w:p>
    <w:p w14:paraId="007576B3" w14:textId="50FB9A5D" w:rsidR="00895A72" w:rsidRPr="00895A72" w:rsidRDefault="00895A72" w:rsidP="00683FCB">
      <w:pPr>
        <w:pStyle w:val="Akapitzlist"/>
        <w:numPr>
          <w:ilvl w:val="0"/>
          <w:numId w:val="21"/>
        </w:numPr>
        <w:rPr>
          <w:sz w:val="20"/>
          <w:szCs w:val="20"/>
          <w:lang w:val="en-US"/>
        </w:rPr>
      </w:pPr>
      <w:r w:rsidRPr="00895A72">
        <w:rPr>
          <w:sz w:val="20"/>
          <w:szCs w:val="20"/>
          <w:lang w:val="en-US"/>
        </w:rPr>
        <w:t xml:space="preserve">Sala, S., Vasta, A., Mancini, L., Dewulf, J., Rosenbaum, E. „Social Life Cycle Assessment – State of the art and challenges for supporting product policies“ (2015) JRC Technical Report. EUR 27624EN; doi: 10,2788/253715. Joint Research Centre (JRC). Available from: https://ec.europa.eu/jrc/en/publication/social-life-cycle-assessment-state-art-and-challenges-supporting-product-policies </w:t>
      </w:r>
    </w:p>
    <w:p w14:paraId="64DB36A3" w14:textId="77777777" w:rsidR="00683FCB" w:rsidRPr="00895A72" w:rsidRDefault="00683FCB" w:rsidP="00895A72">
      <w:pPr>
        <w:ind w:left="360"/>
        <w:rPr>
          <w:sz w:val="20"/>
          <w:szCs w:val="20"/>
          <w:lang w:val="en-US"/>
        </w:rPr>
      </w:pPr>
    </w:p>
    <w:p w14:paraId="767519D6" w14:textId="422DC90C" w:rsidR="00683FCB" w:rsidRPr="00683FCB" w:rsidRDefault="00683FCB" w:rsidP="00895A72">
      <w:pPr>
        <w:ind w:left="360"/>
        <w:rPr>
          <w:sz w:val="20"/>
          <w:szCs w:val="20"/>
          <w:u w:val="single"/>
          <w:lang w:val="en-US"/>
        </w:rPr>
      </w:pPr>
      <w:r w:rsidRPr="00683FCB">
        <w:rPr>
          <w:sz w:val="20"/>
          <w:szCs w:val="20"/>
          <w:u w:val="single"/>
          <w:lang w:val="en-US"/>
        </w:rPr>
        <w:t>Guidelines</w:t>
      </w:r>
    </w:p>
    <w:p w14:paraId="2ED306ED" w14:textId="2F4D3F33" w:rsidR="00683FCB" w:rsidRDefault="00683FCB" w:rsidP="00683FCB">
      <w:pPr>
        <w:pStyle w:val="Akapitzlist"/>
        <w:numPr>
          <w:ilvl w:val="1"/>
          <w:numId w:val="21"/>
        </w:numPr>
        <w:ind w:left="709"/>
        <w:rPr>
          <w:sz w:val="20"/>
          <w:szCs w:val="20"/>
          <w:lang w:val="en-US"/>
        </w:rPr>
      </w:pPr>
      <w:r w:rsidRPr="00683FCB">
        <w:rPr>
          <w:sz w:val="20"/>
          <w:szCs w:val="20"/>
          <w:lang w:val="en-US"/>
        </w:rPr>
        <w:t xml:space="preserve">UNEP-SETAC, United Nations Environment Programme (UNEP) (2009), Guidelines for social life cycle assessment of products. UNEP/SETAC Life Cycle Initiative. Available at: </w:t>
      </w:r>
      <w:hyperlink r:id="rId8" w:history="1">
        <w:r w:rsidRPr="00160450">
          <w:rPr>
            <w:rStyle w:val="Hipercze"/>
            <w:sz w:val="20"/>
            <w:szCs w:val="20"/>
            <w:lang w:val="en-US"/>
          </w:rPr>
          <w:t>http://www.unep.org/pdf/DTIE_PDFS/DTIx1164xPA-guidelines_sLCA.pdf</w:t>
        </w:r>
      </w:hyperlink>
    </w:p>
    <w:p w14:paraId="4ADE797D" w14:textId="363F4D35" w:rsidR="00683FCB" w:rsidRPr="00683FCB" w:rsidRDefault="00683FCB" w:rsidP="00683FCB">
      <w:pPr>
        <w:pStyle w:val="Akapitzlist"/>
        <w:numPr>
          <w:ilvl w:val="1"/>
          <w:numId w:val="21"/>
        </w:numPr>
        <w:ind w:left="709"/>
        <w:rPr>
          <w:sz w:val="20"/>
          <w:szCs w:val="20"/>
          <w:lang w:val="en-US"/>
        </w:rPr>
      </w:pPr>
      <w:r w:rsidRPr="00683FCB">
        <w:rPr>
          <w:sz w:val="20"/>
          <w:szCs w:val="20"/>
          <w:lang w:val="en-US"/>
        </w:rPr>
        <w:t xml:space="preserve">UNEP-SETAC (2013) The methodological sheets for subcategories in Social Life Cycle Assessment. Available at: </w:t>
      </w:r>
      <w:hyperlink r:id="rId9" w:history="1">
        <w:r w:rsidRPr="00160450">
          <w:rPr>
            <w:rStyle w:val="Hipercze"/>
            <w:sz w:val="20"/>
            <w:szCs w:val="20"/>
            <w:lang w:val="en-US"/>
          </w:rPr>
          <w:t>https://www.lifecycleinitiative.org/wp-content/uploads/2013/11/S-LCA_methodological_sheets_11.11.13.pdf</w:t>
        </w:r>
      </w:hyperlink>
      <w:r>
        <w:rPr>
          <w:sz w:val="20"/>
          <w:szCs w:val="20"/>
          <w:lang w:val="en-US"/>
        </w:rPr>
        <w:t xml:space="preserve"> </w:t>
      </w:r>
      <w:r w:rsidRPr="00683FCB">
        <w:rPr>
          <w:sz w:val="20"/>
          <w:szCs w:val="20"/>
          <w:lang w:val="en-US"/>
        </w:rPr>
        <w:t xml:space="preserve"> </w:t>
      </w:r>
      <w:r>
        <w:rPr>
          <w:sz w:val="20"/>
          <w:szCs w:val="20"/>
          <w:lang w:val="en-US"/>
        </w:rPr>
        <w:t xml:space="preserve"> </w:t>
      </w:r>
    </w:p>
    <w:p w14:paraId="7C26651D" w14:textId="77777777" w:rsidR="00683FCB" w:rsidRDefault="00683FCB" w:rsidP="00895A72">
      <w:pPr>
        <w:ind w:left="360"/>
        <w:rPr>
          <w:sz w:val="20"/>
          <w:szCs w:val="20"/>
          <w:lang w:val="en-US"/>
        </w:rPr>
      </w:pPr>
    </w:p>
    <w:p w14:paraId="41679A1D" w14:textId="07BB67B9" w:rsidR="00683FCB" w:rsidRDefault="00683FCB" w:rsidP="00895A72">
      <w:pPr>
        <w:ind w:left="360"/>
        <w:rPr>
          <w:sz w:val="20"/>
          <w:szCs w:val="20"/>
          <w:u w:val="single"/>
          <w:lang w:val="en-US"/>
        </w:rPr>
      </w:pPr>
      <w:r w:rsidRPr="00683FCB">
        <w:rPr>
          <w:sz w:val="20"/>
          <w:szCs w:val="20"/>
          <w:u w:val="single"/>
          <w:lang w:val="en-US"/>
        </w:rPr>
        <w:t>Case Studies</w:t>
      </w:r>
    </w:p>
    <w:p w14:paraId="4B99E0CA" w14:textId="77777777" w:rsidR="00683FCB" w:rsidRDefault="00683FCB" w:rsidP="00683FCB">
      <w:pPr>
        <w:pStyle w:val="Akapitzlist"/>
        <w:numPr>
          <w:ilvl w:val="1"/>
          <w:numId w:val="22"/>
        </w:numPr>
        <w:ind w:left="709"/>
        <w:rPr>
          <w:sz w:val="20"/>
          <w:szCs w:val="20"/>
          <w:lang w:val="en-US"/>
        </w:rPr>
      </w:pPr>
      <w:r w:rsidRPr="00683FCB">
        <w:rPr>
          <w:sz w:val="20"/>
          <w:szCs w:val="20"/>
          <w:lang w:val="en-US"/>
        </w:rPr>
        <w:t>E. Ekener-Petersen, J. Höglund, and G. Finnveden, “Screening potential social impacts of fossil fuels and biofuels for vehicles,” Energy Policy, vol. 73, pp. 416–426, 2014.</w:t>
      </w:r>
    </w:p>
    <w:p w14:paraId="013222CC" w14:textId="77777777" w:rsidR="00683FCB" w:rsidRDefault="00683FCB" w:rsidP="00683FCB">
      <w:pPr>
        <w:pStyle w:val="Akapitzlist"/>
        <w:numPr>
          <w:ilvl w:val="1"/>
          <w:numId w:val="22"/>
        </w:numPr>
        <w:ind w:left="709"/>
        <w:rPr>
          <w:sz w:val="20"/>
          <w:szCs w:val="20"/>
          <w:lang w:val="en-US"/>
        </w:rPr>
      </w:pPr>
      <w:r w:rsidRPr="00683FCB">
        <w:rPr>
          <w:sz w:val="20"/>
          <w:szCs w:val="20"/>
          <w:lang w:val="en-US"/>
        </w:rPr>
        <w:t xml:space="preserve">Yi Fan, Ruqun Wu, Jiquan Chen, Defne Apul (2015): A Review </w:t>
      </w:r>
      <w:r>
        <w:rPr>
          <w:sz w:val="20"/>
          <w:szCs w:val="20"/>
          <w:lang w:val="en-US"/>
        </w:rPr>
        <w:t xml:space="preserve">of Social Life Cycle Assessment </w:t>
      </w:r>
      <w:r w:rsidRPr="00683FCB">
        <w:rPr>
          <w:sz w:val="20"/>
          <w:szCs w:val="20"/>
          <w:lang w:val="en-US"/>
        </w:rPr>
        <w:t>Methodologies, in: Muthu, Subramanian Senthilkannan: Social Life Cy</w:t>
      </w:r>
      <w:r>
        <w:rPr>
          <w:sz w:val="20"/>
          <w:szCs w:val="20"/>
          <w:lang w:val="en-US"/>
        </w:rPr>
        <w:t xml:space="preserve">cle Assessment. an </w:t>
      </w:r>
      <w:r w:rsidRPr="00683FCB">
        <w:rPr>
          <w:sz w:val="20"/>
          <w:szCs w:val="20"/>
          <w:lang w:val="en-US"/>
        </w:rPr>
        <w:t>insight. Springer Science+Business Media: Springer.</w:t>
      </w:r>
    </w:p>
    <w:p w14:paraId="41768C64" w14:textId="77777777" w:rsidR="00683FCB" w:rsidRDefault="00683FCB" w:rsidP="00683FCB">
      <w:pPr>
        <w:pStyle w:val="Akapitzlist"/>
        <w:numPr>
          <w:ilvl w:val="1"/>
          <w:numId w:val="22"/>
        </w:numPr>
        <w:ind w:left="709"/>
        <w:rPr>
          <w:sz w:val="20"/>
          <w:szCs w:val="20"/>
          <w:lang w:val="en-US"/>
        </w:rPr>
      </w:pPr>
      <w:r w:rsidRPr="00683FCB">
        <w:rPr>
          <w:sz w:val="20"/>
          <w:szCs w:val="20"/>
          <w:lang w:val="en-US"/>
        </w:rPr>
        <w:t>Y. Manik, J. Leahy, and A. Halog, “Social life cycle assessment of palm oil biodiesel: A case study in Jambi Province of Indonesia,” Int. J. Life Cycle Assess., vol. 18, no. 7, pp. 1386–1392, 2013. 10.</w:t>
      </w:r>
      <w:r w:rsidRPr="00683FCB">
        <w:rPr>
          <w:sz w:val="20"/>
          <w:szCs w:val="20"/>
          <w:lang w:val="en-US"/>
        </w:rPr>
        <w:tab/>
      </w:r>
    </w:p>
    <w:p w14:paraId="246531AE" w14:textId="77777777" w:rsidR="00683FCB" w:rsidRDefault="00683FCB" w:rsidP="00683FCB">
      <w:pPr>
        <w:pStyle w:val="Akapitzlist"/>
        <w:numPr>
          <w:ilvl w:val="1"/>
          <w:numId w:val="22"/>
        </w:numPr>
        <w:ind w:left="709"/>
        <w:rPr>
          <w:sz w:val="20"/>
          <w:szCs w:val="20"/>
          <w:lang w:val="en-US"/>
        </w:rPr>
      </w:pPr>
      <w:r w:rsidRPr="00683FCB">
        <w:rPr>
          <w:sz w:val="20"/>
          <w:szCs w:val="20"/>
          <w:lang w:val="en-US"/>
        </w:rPr>
        <w:t>J. Ren, A. Manzardo, A. Mazzi, F. Zuliani, and A. Scipioni, “Prioritization of bioethanol production pathways in China based on life cycle sustainability assessment and multicriteria decision-making,” Int. J. Life Cycle Assess., vol. 20, no. 6, pp. 842–853, 2015.</w:t>
      </w:r>
    </w:p>
    <w:p w14:paraId="4CCEE779" w14:textId="4D0F005A" w:rsidR="00683FCB" w:rsidRPr="00683FCB" w:rsidRDefault="00683FCB" w:rsidP="00683FCB">
      <w:pPr>
        <w:pStyle w:val="Akapitzlist"/>
        <w:numPr>
          <w:ilvl w:val="1"/>
          <w:numId w:val="22"/>
        </w:numPr>
        <w:ind w:left="709"/>
        <w:rPr>
          <w:sz w:val="20"/>
          <w:szCs w:val="20"/>
          <w:lang w:val="en-US"/>
        </w:rPr>
      </w:pPr>
      <w:r w:rsidRPr="00683FCB">
        <w:rPr>
          <w:sz w:val="20"/>
          <w:szCs w:val="20"/>
          <w:lang w:val="en-US"/>
        </w:rPr>
        <w:t>B. Rugani, E. Benetto, E. Igos, G. Quinti, A. Declich, and F. Feudo, “Towards prospective life cycle sustainability analysis: exploring complementarities between social and environmental life cycle assessments for the case of Luxembourg’s energy system,” Matériaux Tech., vol. 102, no. 6–7, p. 605, 2014</w:t>
      </w:r>
    </w:p>
    <w:p w14:paraId="393AB87D" w14:textId="77777777" w:rsidR="00683FCB" w:rsidRDefault="00683FCB" w:rsidP="00683FCB">
      <w:pPr>
        <w:pStyle w:val="Akapitzlist"/>
        <w:numPr>
          <w:ilvl w:val="1"/>
          <w:numId w:val="22"/>
        </w:numPr>
        <w:ind w:left="709"/>
        <w:rPr>
          <w:sz w:val="20"/>
          <w:szCs w:val="20"/>
          <w:lang w:val="en-US"/>
        </w:rPr>
      </w:pPr>
      <w:r w:rsidRPr="00683FCB">
        <w:rPr>
          <w:sz w:val="20"/>
          <w:szCs w:val="20"/>
          <w:lang w:val="en-US"/>
        </w:rPr>
        <w:lastRenderedPageBreak/>
        <w:t>M. Traverso, F. Asdrubali, A. Francia, and M. Finkbeiner, “Towards life cycle sustainability assessment: An implementation to photovoltaic modules,” Int. J. Life Cycle Assess., vol. 17, no. 8, pp. 1068–1079, 2012.</w:t>
      </w:r>
    </w:p>
    <w:p w14:paraId="585517EB" w14:textId="7DDD45A5" w:rsidR="00683FCB" w:rsidRPr="00683FCB" w:rsidRDefault="00683FCB" w:rsidP="00683FCB">
      <w:pPr>
        <w:pStyle w:val="Akapitzlist"/>
        <w:numPr>
          <w:ilvl w:val="1"/>
          <w:numId w:val="22"/>
        </w:numPr>
        <w:ind w:left="709"/>
        <w:rPr>
          <w:sz w:val="20"/>
          <w:szCs w:val="20"/>
          <w:lang w:val="en-US"/>
        </w:rPr>
      </w:pPr>
      <w:r w:rsidRPr="00683FCB">
        <w:rPr>
          <w:sz w:val="20"/>
          <w:szCs w:val="20"/>
          <w:lang w:val="en-US"/>
        </w:rPr>
        <w:t>F. S. Weldegiorgis and D. M. Franks, “Social dimensions of energy supply alternatives in steelmaking: Comparison of biomass and coal production scenarios in Australia,” J. Clean. Prod., vol. 84, no. 1, pp. 281–288, 2014.</w:t>
      </w:r>
    </w:p>
    <w:p w14:paraId="3B86E971" w14:textId="77777777" w:rsidR="00683FCB" w:rsidRPr="00683FCB" w:rsidRDefault="00683FCB" w:rsidP="00895A72">
      <w:pPr>
        <w:ind w:left="360"/>
        <w:rPr>
          <w:sz w:val="20"/>
          <w:szCs w:val="20"/>
          <w:u w:val="single"/>
          <w:lang w:val="en-US"/>
        </w:rPr>
      </w:pPr>
    </w:p>
    <w:sectPr w:rsidR="00683FCB" w:rsidRPr="00683FC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9F5E" w14:textId="77777777" w:rsidR="00310281" w:rsidRDefault="00310281" w:rsidP="00776CA5">
      <w:pPr>
        <w:spacing w:after="0" w:line="240" w:lineRule="auto"/>
      </w:pPr>
      <w:r>
        <w:separator/>
      </w:r>
    </w:p>
  </w:endnote>
  <w:endnote w:type="continuationSeparator" w:id="0">
    <w:p w14:paraId="4A933719" w14:textId="77777777" w:rsidR="00310281" w:rsidRDefault="00310281" w:rsidP="0077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54D3" w14:textId="77777777" w:rsidR="004A77AE" w:rsidRDefault="004A77A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875583722"/>
      <w:docPartObj>
        <w:docPartGallery w:val="Page Numbers (Bottom of Page)"/>
        <w:docPartUnique/>
      </w:docPartObj>
    </w:sdtPr>
    <w:sdtEndPr>
      <w:rPr>
        <w:i w:val="0"/>
      </w:rPr>
    </w:sdtEndPr>
    <w:sdtContent>
      <w:p w14:paraId="01400736" w14:textId="77777777" w:rsidR="004A77AE" w:rsidRDefault="007622C6">
        <w:pPr>
          <w:pStyle w:val="Stopka"/>
          <w:rPr>
            <w:i/>
            <w:lang w:val="en-GB"/>
          </w:rPr>
        </w:pPr>
        <w:r>
          <w:rPr>
            <w:i/>
          </w:rPr>
          <w:t>TM 4</w:t>
        </w:r>
        <w:r w:rsidRPr="00543539">
          <w:rPr>
            <w:i/>
          </w:rPr>
          <w:t xml:space="preserve"> – </w:t>
        </w:r>
        <w:r w:rsidRPr="001223D7">
          <w:rPr>
            <w:i/>
            <w:lang w:val="en-GB"/>
          </w:rPr>
          <w:t xml:space="preserve">Social Impact of Energy Technologies. Assessing </w:t>
        </w:r>
        <w:r>
          <w:rPr>
            <w:i/>
            <w:lang w:val="en-GB"/>
          </w:rPr>
          <w:t>S</w:t>
        </w:r>
        <w:r w:rsidRPr="001223D7">
          <w:rPr>
            <w:i/>
            <w:lang w:val="en-GB"/>
          </w:rPr>
          <w:t xml:space="preserve">ocial </w:t>
        </w:r>
        <w:r>
          <w:rPr>
            <w:i/>
            <w:lang w:val="en-GB"/>
          </w:rPr>
          <w:t>I</w:t>
        </w:r>
        <w:r w:rsidRPr="001223D7">
          <w:rPr>
            <w:i/>
            <w:lang w:val="en-GB"/>
          </w:rPr>
          <w:t>mpacts th</w:t>
        </w:r>
        <w:r>
          <w:rPr>
            <w:i/>
            <w:lang w:val="en-GB"/>
          </w:rPr>
          <w:t>r</w:t>
        </w:r>
        <w:r w:rsidRPr="001223D7">
          <w:rPr>
            <w:i/>
            <w:lang w:val="en-GB"/>
          </w:rPr>
          <w:t>ough Social Life Cycle Assessment (SLCA)</w:t>
        </w:r>
      </w:p>
      <w:p w14:paraId="17B126E6" w14:textId="77777777" w:rsidR="004A77AE" w:rsidRPr="004B6409" w:rsidRDefault="004A77AE" w:rsidP="004A77AE">
        <w:pPr>
          <w:rPr>
            <w:rFonts w:ascii="Arial" w:hAnsi="Arial" w:cs="Arial"/>
            <w:sz w:val="20"/>
            <w:szCs w:val="20"/>
          </w:rPr>
        </w:pPr>
        <w:r w:rsidRPr="004B6409">
          <w:rPr>
            <w:rFonts w:ascii="Arial" w:hAnsi="Arial" w:cs="Arial"/>
            <w:sz w:val="20"/>
            <w:szCs w:val="20"/>
          </w:rPr>
          <w:t>This work is licensed under a Creative Commons Attribution-NonCommercial 4.0 international License.</w:t>
        </w:r>
      </w:p>
      <w:p w14:paraId="48FCCAFF" w14:textId="1FF8F99A" w:rsidR="00776CA5" w:rsidRDefault="004A77AE">
        <w:pPr>
          <w:pStyle w:val="Stopka"/>
        </w:pPr>
        <w:bookmarkStart w:id="0" w:name="_GoBack"/>
        <w:r>
          <w:rPr>
            <w:i/>
            <w:noProof/>
            <w:lang w:val="en-US"/>
          </w:rPr>
          <w:drawing>
            <wp:inline distT="0" distB="0" distL="0" distR="0" wp14:anchorId="5957C177" wp14:editId="43E55AD0">
              <wp:extent cx="1227411" cy="429442"/>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bookmarkEnd w:id="0"/>
        <w:r w:rsidR="007622C6">
          <w:rPr>
            <w:i/>
            <w:lang w:val="en-GB"/>
          </w:rPr>
          <w:tab/>
        </w:r>
        <w:r w:rsidR="007622C6">
          <w:tab/>
        </w:r>
        <w:r w:rsidR="007622C6">
          <w:fldChar w:fldCharType="begin"/>
        </w:r>
        <w:r w:rsidR="007622C6">
          <w:instrText>PAGE   \* MERGEFORMAT</w:instrText>
        </w:r>
        <w:r w:rsidR="007622C6">
          <w:fldChar w:fldCharType="separate"/>
        </w:r>
        <w:r>
          <w:rPr>
            <w:noProof/>
          </w:rPr>
          <w:t>1</w:t>
        </w:r>
        <w:r w:rsidR="007622C6">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EF2A" w14:textId="77777777" w:rsidR="004A77AE" w:rsidRDefault="004A77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A511" w14:textId="77777777" w:rsidR="00310281" w:rsidRDefault="00310281" w:rsidP="00776CA5">
      <w:pPr>
        <w:spacing w:after="0" w:line="240" w:lineRule="auto"/>
      </w:pPr>
      <w:r>
        <w:separator/>
      </w:r>
    </w:p>
  </w:footnote>
  <w:footnote w:type="continuationSeparator" w:id="0">
    <w:p w14:paraId="1BB57A6A" w14:textId="77777777" w:rsidR="00310281" w:rsidRDefault="00310281" w:rsidP="0077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4BF7" w14:textId="77777777" w:rsidR="004A77AE" w:rsidRDefault="004A77A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1B15" w14:textId="0887563B" w:rsidR="007622C6" w:rsidRDefault="007622C6">
    <w:pPr>
      <w:pStyle w:val="Nagwek"/>
    </w:pPr>
  </w:p>
  <w:tbl>
    <w:tblPr>
      <w:tblStyle w:val="Tabela-Siatka"/>
      <w:tblW w:w="11000"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gridCol w:w="3345"/>
    </w:tblGrid>
    <w:tr w:rsidR="007622C6" w14:paraId="764CD593" w14:textId="77777777" w:rsidTr="006311EA">
      <w:tc>
        <w:tcPr>
          <w:tcW w:w="2127" w:type="dxa"/>
        </w:tcPr>
        <w:p w14:paraId="490ADD27" w14:textId="77777777" w:rsidR="007622C6" w:rsidRDefault="007622C6" w:rsidP="007622C6">
          <w:r w:rsidRPr="003F68E9">
            <w:rPr>
              <w:noProof/>
              <w:lang w:val="en-US"/>
            </w:rPr>
            <w:drawing>
              <wp:inline distT="0" distB="0" distL="0" distR="0" wp14:anchorId="7CAA5B44" wp14:editId="2E7C2B14">
                <wp:extent cx="582033" cy="714375"/>
                <wp:effectExtent l="0" t="0" r="889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898" cy="737530"/>
                        </a:xfrm>
                        <a:prstGeom prst="rect">
                          <a:avLst/>
                        </a:prstGeom>
                        <a:noFill/>
                        <a:ln>
                          <a:noFill/>
                        </a:ln>
                        <a:extLst/>
                      </pic:spPr>
                    </pic:pic>
                  </a:graphicData>
                </a:graphic>
              </wp:inline>
            </w:drawing>
          </w:r>
        </w:p>
      </w:tc>
      <w:tc>
        <w:tcPr>
          <w:tcW w:w="5528" w:type="dxa"/>
          <w:vAlign w:val="center"/>
        </w:tcPr>
        <w:p w14:paraId="40D309FE" w14:textId="77777777" w:rsidR="007622C6" w:rsidRPr="00296444" w:rsidRDefault="007622C6" w:rsidP="007622C6">
          <w:pPr>
            <w:jc w:val="center"/>
          </w:pPr>
          <w:r w:rsidRPr="007833C4">
            <w:rPr>
              <w:b/>
            </w:rPr>
            <w:t>TEACHENER</w:t>
          </w:r>
          <w:r>
            <w:br/>
          </w:r>
          <w:r w:rsidRPr="007833C4">
            <w:rPr>
              <w:i/>
            </w:rPr>
            <w:t>Integrating Social Sciences and Humanities into Teaching about Energy</w:t>
          </w:r>
        </w:p>
      </w:tc>
      <w:tc>
        <w:tcPr>
          <w:tcW w:w="3345" w:type="dxa"/>
          <w:vAlign w:val="center"/>
        </w:tcPr>
        <w:p w14:paraId="7B333388" w14:textId="77777777" w:rsidR="007622C6" w:rsidRDefault="007622C6" w:rsidP="007622C6">
          <w:pPr>
            <w:jc w:val="right"/>
          </w:pPr>
          <w:r w:rsidRPr="003F68E9">
            <w:rPr>
              <w:noProof/>
              <w:lang w:val="en-US"/>
            </w:rPr>
            <w:drawing>
              <wp:inline distT="0" distB="0" distL="0" distR="0" wp14:anchorId="6C8D5CFA" wp14:editId="0634E44D">
                <wp:extent cx="1674391" cy="358467"/>
                <wp:effectExtent l="0" t="0" r="2540" b="381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4391" cy="358467"/>
                        </a:xfrm>
                        <a:prstGeom prst="rect">
                          <a:avLst/>
                        </a:prstGeom>
                        <a:noFill/>
                        <a:ln>
                          <a:noFill/>
                        </a:ln>
                        <a:extLst/>
                      </pic:spPr>
                    </pic:pic>
                  </a:graphicData>
                </a:graphic>
              </wp:inline>
            </w:drawing>
          </w:r>
        </w:p>
      </w:tc>
    </w:tr>
  </w:tbl>
  <w:p w14:paraId="120D9DDE" w14:textId="2EC91D4C" w:rsidR="00776CA5" w:rsidRDefault="00776CA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47C8" w14:textId="77777777" w:rsidR="004A77AE" w:rsidRDefault="004A77A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FB3"/>
    <w:multiLevelType w:val="hybridMultilevel"/>
    <w:tmpl w:val="8DE85F56"/>
    <w:lvl w:ilvl="0" w:tplc="0C0A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354BAD"/>
    <w:multiLevelType w:val="hybridMultilevel"/>
    <w:tmpl w:val="CA549818"/>
    <w:lvl w:ilvl="0" w:tplc="8206A6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FF0E56"/>
    <w:multiLevelType w:val="hybridMultilevel"/>
    <w:tmpl w:val="4A9497DE"/>
    <w:lvl w:ilvl="0" w:tplc="0C0A000F">
      <w:start w:val="1"/>
      <w:numFmt w:val="decimal"/>
      <w:lvlText w:val="%1."/>
      <w:lvlJc w:val="left"/>
      <w:pPr>
        <w:ind w:left="720" w:hanging="360"/>
      </w:pPr>
    </w:lvl>
    <w:lvl w:ilvl="1" w:tplc="D92E7A72">
      <w:start w:val="1"/>
      <w:numFmt w:val="decimal"/>
      <w:lvlText w:val="%2."/>
      <w:lvlJc w:val="left"/>
      <w:pPr>
        <w:ind w:left="1440" w:hanging="360"/>
      </w:pPr>
      <w:rPr>
        <w:rFonts w:asciiTheme="minorHAnsi" w:eastAsiaTheme="minorHAnsi" w:hAnsiTheme="minorHAnsi" w:cstheme="minorBidi"/>
      </w:r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C1E274FA">
      <w:start w:val="5"/>
      <w:numFmt w:val="decimal"/>
      <w:lvlText w:val="%5"/>
      <w:lvlJc w:val="left"/>
      <w:pPr>
        <w:ind w:left="3600" w:hanging="360"/>
      </w:pPr>
      <w:rPr>
        <w:rFonts w:hint="default"/>
      </w:r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3AB4AB9"/>
    <w:multiLevelType w:val="hybridMultilevel"/>
    <w:tmpl w:val="A07094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0A56A6"/>
    <w:multiLevelType w:val="hybridMultilevel"/>
    <w:tmpl w:val="B7DE6480"/>
    <w:lvl w:ilvl="0" w:tplc="8206A630">
      <w:numFmt w:val="bullet"/>
      <w:lvlText w:val="-"/>
      <w:lvlJc w:val="left"/>
      <w:pPr>
        <w:ind w:left="1800" w:hanging="360"/>
      </w:pPr>
      <w:rPr>
        <w:rFonts w:ascii="Calibri" w:eastAsiaTheme="minorHAnsi" w:hAnsi="Calibri" w:cstheme="minorBidi" w:hint="default"/>
      </w:rPr>
    </w:lvl>
    <w:lvl w:ilvl="1" w:tplc="040A0003">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5" w15:restartNumberingAfterBreak="0">
    <w:nsid w:val="1B3E4AED"/>
    <w:multiLevelType w:val="hybridMultilevel"/>
    <w:tmpl w:val="31AAAE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D934EC2"/>
    <w:multiLevelType w:val="hybridMultilevel"/>
    <w:tmpl w:val="70A27ED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1F34538B"/>
    <w:multiLevelType w:val="hybridMultilevel"/>
    <w:tmpl w:val="6902EF8E"/>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28F032A8"/>
    <w:multiLevelType w:val="hybridMultilevel"/>
    <w:tmpl w:val="961AFC50"/>
    <w:lvl w:ilvl="0" w:tplc="8206A6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300DF"/>
    <w:multiLevelType w:val="multilevel"/>
    <w:tmpl w:val="4A9497DE"/>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5"/>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16D7238"/>
    <w:multiLevelType w:val="hybridMultilevel"/>
    <w:tmpl w:val="1BC0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170762"/>
    <w:multiLevelType w:val="hybridMultilevel"/>
    <w:tmpl w:val="E830F78C"/>
    <w:lvl w:ilvl="0" w:tplc="8206A6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CB04C6"/>
    <w:multiLevelType w:val="hybridMultilevel"/>
    <w:tmpl w:val="A33EFA66"/>
    <w:lvl w:ilvl="0" w:tplc="8206A63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47106A17"/>
    <w:multiLevelType w:val="hybridMultilevel"/>
    <w:tmpl w:val="8392154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4EDB7D01"/>
    <w:multiLevelType w:val="hybridMultilevel"/>
    <w:tmpl w:val="6478EB44"/>
    <w:lvl w:ilvl="0" w:tplc="0C0A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1E92B58"/>
    <w:multiLevelType w:val="hybridMultilevel"/>
    <w:tmpl w:val="721ACC7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8030286"/>
    <w:multiLevelType w:val="hybridMultilevel"/>
    <w:tmpl w:val="A77E0822"/>
    <w:lvl w:ilvl="0" w:tplc="0C0A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15:restartNumberingAfterBreak="0">
    <w:nsid w:val="6DC6133E"/>
    <w:multiLevelType w:val="multilevel"/>
    <w:tmpl w:val="4A9497DE"/>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5"/>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6823413"/>
    <w:multiLevelType w:val="hybridMultilevel"/>
    <w:tmpl w:val="098C87E0"/>
    <w:lvl w:ilvl="0" w:tplc="4A24DC58">
      <w:start w:val="1"/>
      <w:numFmt w:val="decimal"/>
      <w:lvlText w:val="%1."/>
      <w:lvlJc w:val="left"/>
      <w:pPr>
        <w:ind w:left="720" w:hanging="360"/>
      </w:pPr>
      <w:rPr>
        <w:rFonts w:hint="default"/>
        <w:b/>
      </w:rPr>
    </w:lvl>
    <w:lvl w:ilvl="1" w:tplc="040A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A96F0A"/>
    <w:multiLevelType w:val="hybridMultilevel"/>
    <w:tmpl w:val="04627866"/>
    <w:lvl w:ilvl="0" w:tplc="45182464">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C885079"/>
    <w:multiLevelType w:val="multilevel"/>
    <w:tmpl w:val="4A9497DE"/>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5"/>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EF1342A"/>
    <w:multiLevelType w:val="multilevel"/>
    <w:tmpl w:val="4A9497DE"/>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5"/>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5"/>
  </w:num>
  <w:num w:numId="3">
    <w:abstractNumId w:val="19"/>
  </w:num>
  <w:num w:numId="4">
    <w:abstractNumId w:val="7"/>
  </w:num>
  <w:num w:numId="5">
    <w:abstractNumId w:val="4"/>
  </w:num>
  <w:num w:numId="6">
    <w:abstractNumId w:val="15"/>
  </w:num>
  <w:num w:numId="7">
    <w:abstractNumId w:val="3"/>
  </w:num>
  <w:num w:numId="8">
    <w:abstractNumId w:val="1"/>
  </w:num>
  <w:num w:numId="9">
    <w:abstractNumId w:val="8"/>
  </w:num>
  <w:num w:numId="10">
    <w:abstractNumId w:val="11"/>
  </w:num>
  <w:num w:numId="11">
    <w:abstractNumId w:val="12"/>
  </w:num>
  <w:num w:numId="12">
    <w:abstractNumId w:val="13"/>
  </w:num>
  <w:num w:numId="13">
    <w:abstractNumId w:val="0"/>
  </w:num>
  <w:num w:numId="14">
    <w:abstractNumId w:val="14"/>
  </w:num>
  <w:num w:numId="15">
    <w:abstractNumId w:val="16"/>
  </w:num>
  <w:num w:numId="16">
    <w:abstractNumId w:val="10"/>
  </w:num>
  <w:num w:numId="17">
    <w:abstractNumId w:val="6"/>
  </w:num>
  <w:num w:numId="18">
    <w:abstractNumId w:val="2"/>
  </w:num>
  <w:num w:numId="19">
    <w:abstractNumId w:val="20"/>
  </w:num>
  <w:num w:numId="20">
    <w:abstractNumId w:val="9"/>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ED"/>
    <w:rsid w:val="00027B98"/>
    <w:rsid w:val="00040F39"/>
    <w:rsid w:val="00091459"/>
    <w:rsid w:val="00097DBE"/>
    <w:rsid w:val="000D2BAE"/>
    <w:rsid w:val="000D757C"/>
    <w:rsid w:val="000E6C61"/>
    <w:rsid w:val="001177C9"/>
    <w:rsid w:val="00123D1B"/>
    <w:rsid w:val="00170EED"/>
    <w:rsid w:val="00171FA0"/>
    <w:rsid w:val="001C66AD"/>
    <w:rsid w:val="001F6C35"/>
    <w:rsid w:val="002231B4"/>
    <w:rsid w:val="00227560"/>
    <w:rsid w:val="00255B9A"/>
    <w:rsid w:val="002B211D"/>
    <w:rsid w:val="002D02DB"/>
    <w:rsid w:val="002F1374"/>
    <w:rsid w:val="00310281"/>
    <w:rsid w:val="00310DCE"/>
    <w:rsid w:val="003123B8"/>
    <w:rsid w:val="00364157"/>
    <w:rsid w:val="003C0DD3"/>
    <w:rsid w:val="003C628C"/>
    <w:rsid w:val="003E7FE5"/>
    <w:rsid w:val="003F079F"/>
    <w:rsid w:val="003F33C7"/>
    <w:rsid w:val="00401B6B"/>
    <w:rsid w:val="00404695"/>
    <w:rsid w:val="004514CD"/>
    <w:rsid w:val="00456DE5"/>
    <w:rsid w:val="004A77AE"/>
    <w:rsid w:val="004E41D4"/>
    <w:rsid w:val="00524623"/>
    <w:rsid w:val="005627BF"/>
    <w:rsid w:val="00595792"/>
    <w:rsid w:val="005B6521"/>
    <w:rsid w:val="005C289B"/>
    <w:rsid w:val="005F0A20"/>
    <w:rsid w:val="005F566A"/>
    <w:rsid w:val="00626FE1"/>
    <w:rsid w:val="00683FCB"/>
    <w:rsid w:val="0068650E"/>
    <w:rsid w:val="006D1942"/>
    <w:rsid w:val="006E60EC"/>
    <w:rsid w:val="00735A08"/>
    <w:rsid w:val="007622C6"/>
    <w:rsid w:val="00771C79"/>
    <w:rsid w:val="00776CA5"/>
    <w:rsid w:val="00787685"/>
    <w:rsid w:val="00795ABE"/>
    <w:rsid w:val="007C05AB"/>
    <w:rsid w:val="00803CCF"/>
    <w:rsid w:val="00873803"/>
    <w:rsid w:val="008956B7"/>
    <w:rsid w:val="00895A72"/>
    <w:rsid w:val="008C09D8"/>
    <w:rsid w:val="008D24FE"/>
    <w:rsid w:val="008E49A7"/>
    <w:rsid w:val="0090432F"/>
    <w:rsid w:val="00940FFD"/>
    <w:rsid w:val="00955AB8"/>
    <w:rsid w:val="0099071B"/>
    <w:rsid w:val="009B0218"/>
    <w:rsid w:val="009B5F4E"/>
    <w:rsid w:val="009B766C"/>
    <w:rsid w:val="00A064E1"/>
    <w:rsid w:val="00A36622"/>
    <w:rsid w:val="00A52DC2"/>
    <w:rsid w:val="00A631C5"/>
    <w:rsid w:val="00B9714E"/>
    <w:rsid w:val="00BE2895"/>
    <w:rsid w:val="00C06660"/>
    <w:rsid w:val="00C200B3"/>
    <w:rsid w:val="00C30E00"/>
    <w:rsid w:val="00C40156"/>
    <w:rsid w:val="00C50D2D"/>
    <w:rsid w:val="00C64B69"/>
    <w:rsid w:val="00C935F1"/>
    <w:rsid w:val="00D00A69"/>
    <w:rsid w:val="00D14871"/>
    <w:rsid w:val="00D2426A"/>
    <w:rsid w:val="00D3343A"/>
    <w:rsid w:val="00D45F86"/>
    <w:rsid w:val="00D63B0E"/>
    <w:rsid w:val="00D73527"/>
    <w:rsid w:val="00D766A8"/>
    <w:rsid w:val="00D86FB3"/>
    <w:rsid w:val="00DB0722"/>
    <w:rsid w:val="00DB5937"/>
    <w:rsid w:val="00DC5F72"/>
    <w:rsid w:val="00DE2699"/>
    <w:rsid w:val="00E45CAB"/>
    <w:rsid w:val="00E64AEC"/>
    <w:rsid w:val="00E80CD5"/>
    <w:rsid w:val="00E94FCE"/>
    <w:rsid w:val="00EA0E9B"/>
    <w:rsid w:val="00EB55BB"/>
    <w:rsid w:val="00ED431E"/>
    <w:rsid w:val="00EF30FA"/>
    <w:rsid w:val="00F02AC6"/>
    <w:rsid w:val="00F17AD2"/>
    <w:rsid w:val="00F213B5"/>
    <w:rsid w:val="00F404EA"/>
    <w:rsid w:val="00F715B3"/>
    <w:rsid w:val="00F742B7"/>
    <w:rsid w:val="00F93BED"/>
    <w:rsid w:val="00FE70BA"/>
    <w:rsid w:val="00FF3EDE"/>
    <w:rsid w:val="00FF4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6DB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CA5"/>
  </w:style>
  <w:style w:type="paragraph" w:styleId="Stopka">
    <w:name w:val="footer"/>
    <w:basedOn w:val="Normalny"/>
    <w:link w:val="StopkaZnak"/>
    <w:uiPriority w:val="99"/>
    <w:unhideWhenUsed/>
    <w:rsid w:val="00776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CA5"/>
  </w:style>
  <w:style w:type="paragraph" w:styleId="Akapitzlist">
    <w:name w:val="List Paragraph"/>
    <w:basedOn w:val="Normalny"/>
    <w:uiPriority w:val="34"/>
    <w:qFormat/>
    <w:rsid w:val="00D766A8"/>
    <w:pPr>
      <w:ind w:left="720"/>
      <w:contextualSpacing/>
    </w:pPr>
  </w:style>
  <w:style w:type="character" w:styleId="Hipercze">
    <w:name w:val="Hyperlink"/>
    <w:basedOn w:val="Domylnaczcionkaakapitu"/>
    <w:uiPriority w:val="99"/>
    <w:unhideWhenUsed/>
    <w:rsid w:val="00771C79"/>
    <w:rPr>
      <w:color w:val="0563C1" w:themeColor="hyperlink"/>
      <w:u w:val="single"/>
    </w:rPr>
  </w:style>
  <w:style w:type="character" w:styleId="Odwoaniedokomentarza">
    <w:name w:val="annotation reference"/>
    <w:basedOn w:val="Domylnaczcionkaakapitu"/>
    <w:uiPriority w:val="99"/>
    <w:semiHidden/>
    <w:unhideWhenUsed/>
    <w:rsid w:val="00F02AC6"/>
    <w:rPr>
      <w:sz w:val="16"/>
      <w:szCs w:val="16"/>
    </w:rPr>
  </w:style>
  <w:style w:type="paragraph" w:styleId="Tekstkomentarza">
    <w:name w:val="annotation text"/>
    <w:basedOn w:val="Normalny"/>
    <w:link w:val="TekstkomentarzaZnak"/>
    <w:uiPriority w:val="99"/>
    <w:semiHidden/>
    <w:unhideWhenUsed/>
    <w:rsid w:val="00F02A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2AC6"/>
    <w:rPr>
      <w:sz w:val="20"/>
      <w:szCs w:val="20"/>
    </w:rPr>
  </w:style>
  <w:style w:type="paragraph" w:styleId="Tematkomentarza">
    <w:name w:val="annotation subject"/>
    <w:basedOn w:val="Tekstkomentarza"/>
    <w:next w:val="Tekstkomentarza"/>
    <w:link w:val="TematkomentarzaZnak"/>
    <w:uiPriority w:val="99"/>
    <w:semiHidden/>
    <w:unhideWhenUsed/>
    <w:rsid w:val="00F02AC6"/>
    <w:rPr>
      <w:b/>
      <w:bCs/>
    </w:rPr>
  </w:style>
  <w:style w:type="character" w:customStyle="1" w:styleId="TematkomentarzaZnak">
    <w:name w:val="Temat komentarza Znak"/>
    <w:basedOn w:val="TekstkomentarzaZnak"/>
    <w:link w:val="Tematkomentarza"/>
    <w:uiPriority w:val="99"/>
    <w:semiHidden/>
    <w:rsid w:val="00F02AC6"/>
    <w:rPr>
      <w:b/>
      <w:bCs/>
      <w:sz w:val="20"/>
      <w:szCs w:val="20"/>
    </w:rPr>
  </w:style>
  <w:style w:type="paragraph" w:styleId="Tekstdymka">
    <w:name w:val="Balloon Text"/>
    <w:basedOn w:val="Normalny"/>
    <w:link w:val="TekstdymkaZnak"/>
    <w:uiPriority w:val="99"/>
    <w:semiHidden/>
    <w:unhideWhenUsed/>
    <w:rsid w:val="00F02A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AC6"/>
    <w:rPr>
      <w:rFonts w:ascii="Segoe UI" w:hAnsi="Segoe UI" w:cs="Segoe UI"/>
      <w:sz w:val="18"/>
      <w:szCs w:val="18"/>
    </w:rPr>
  </w:style>
  <w:style w:type="paragraph" w:styleId="NormalnyWeb">
    <w:name w:val="Normal (Web)"/>
    <w:basedOn w:val="Normalny"/>
    <w:uiPriority w:val="99"/>
    <w:semiHidden/>
    <w:unhideWhenUsed/>
    <w:rsid w:val="00E94FCE"/>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table" w:styleId="Tabela-Siatka">
    <w:name w:val="Table Grid"/>
    <w:basedOn w:val="Standardowy"/>
    <w:uiPriority w:val="59"/>
    <w:rsid w:val="0076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pdf/DTIE_PDFS/DTIx1164xPA-guidelines_sLC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exus.openlca.org/ws/files/906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fecycleinitiative.org/wp-content/uploads/2013/11/S-LCA_methodological_sheets_11.11.13.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1540</Words>
  <Characters>8780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Galik</dc:creator>
  <cp:keywords/>
  <dc:description/>
  <cp:lastModifiedBy>Krzysiu Tarkowski</cp:lastModifiedBy>
  <cp:revision>13</cp:revision>
  <dcterms:created xsi:type="dcterms:W3CDTF">2018-04-28T17:14:00Z</dcterms:created>
  <dcterms:modified xsi:type="dcterms:W3CDTF">2019-10-30T16:10:00Z</dcterms:modified>
</cp:coreProperties>
</file>